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《深圳市深汕特别合作区关于促进文化旅游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Style w:val="9"/>
          <w:rFonts w:ascii="方正小标宋_GBK" w:eastAsia="方正小标宋_GBK"/>
          <w:sz w:val="44"/>
          <w:szCs w:val="44"/>
        </w:rPr>
      </w:pPr>
      <w:r>
        <w:rPr>
          <w:rFonts w:hint="eastAsia" w:ascii="方正小标宋简体" w:hAnsi="方正小标宋简体" w:eastAsia="方正小标宋简体" w:cs="方正小标宋简体"/>
          <w:sz w:val="44"/>
          <w:szCs w:val="44"/>
        </w:rPr>
        <w:t>产业发展的若干措施》</w:t>
      </w:r>
      <w:r>
        <w:rPr>
          <w:rStyle w:val="9"/>
          <w:rFonts w:hint="eastAsia" w:ascii="方正小标宋_GBK" w:eastAsia="方正小标宋_GBK"/>
          <w:sz w:val="44"/>
          <w:szCs w:val="44"/>
          <w:lang w:eastAsia="zh-CN"/>
        </w:rPr>
        <w:t>的</w:t>
      </w:r>
      <w:r>
        <w:rPr>
          <w:rStyle w:val="9"/>
          <w:rFonts w:ascii="方正小标宋_GBK" w:eastAsia="方正小标宋_GBK"/>
          <w:sz w:val="44"/>
          <w:szCs w:val="44"/>
        </w:rPr>
        <w:t>起草说明</w:t>
      </w:r>
    </w:p>
    <w:p>
      <w:pPr>
        <w:keepNext w:val="0"/>
        <w:keepLines w:val="0"/>
        <w:pageBreakBefore w:val="0"/>
        <w:widowControl/>
        <w:tabs>
          <w:tab w:val="left" w:pos="2220"/>
        </w:tabs>
        <w:kinsoku/>
        <w:wordWrap/>
        <w:overflowPunct/>
        <w:topLinePunct w:val="0"/>
        <w:autoSpaceDE/>
        <w:autoSpaceDN/>
        <w:bidi w:val="0"/>
        <w:spacing w:line="560" w:lineRule="exact"/>
        <w:rPr>
          <w:rStyle w:val="9"/>
          <w:rFonts w:ascii="仿宋_GB2312"/>
        </w:rPr>
      </w:pPr>
    </w:p>
    <w:p>
      <w:pPr>
        <w:keepNext w:val="0"/>
        <w:keepLines w:val="0"/>
        <w:pageBreakBefore w:val="0"/>
        <w:widowControl/>
        <w:kinsoku/>
        <w:wordWrap/>
        <w:overflowPunct/>
        <w:topLinePunct w:val="0"/>
        <w:autoSpaceDE/>
        <w:autoSpaceDN/>
        <w:bidi w:val="0"/>
        <w:adjustRightInd w:val="0"/>
        <w:snapToGrid w:val="0"/>
        <w:spacing w:line="560" w:lineRule="exact"/>
        <w:ind w:firstLine="643"/>
        <w:rPr>
          <w:rFonts w:hint="eastAsia" w:ascii="仿宋_GB2312" w:hAnsi="仿宋_GB2312" w:cs="Times New Roman"/>
          <w:color w:val="auto"/>
          <w:sz w:val="32"/>
          <w:highlight w:val="none"/>
          <w:lang w:eastAsia="zh-CN"/>
        </w:rPr>
      </w:pPr>
      <w:r>
        <w:rPr>
          <w:rFonts w:hint="eastAsia" w:ascii="仿宋_GB2312" w:hAnsi="仿宋_GB2312" w:cs="Times New Roman"/>
          <w:color w:val="auto"/>
          <w:sz w:val="32"/>
          <w:highlight w:val="none"/>
          <w:lang w:eastAsia="zh-CN"/>
        </w:rPr>
        <w:t>为加快推进深汕特别合作区文化旅游业高质量发展，结合合作区实际情况及文化旅游业发展形势和需要，经过深入调查研究，组织起草了《深汕特别合作区关于促进文化旅游业发展的若干措施》（以下简称《措施》）。现就有关情况说明如下：</w:t>
      </w:r>
    </w:p>
    <w:p>
      <w:pPr>
        <w:keepNext w:val="0"/>
        <w:keepLines w:val="0"/>
        <w:pageBreakBefore w:val="0"/>
        <w:widowControl/>
        <w:tabs>
          <w:tab w:val="left" w:pos="2220"/>
        </w:tabs>
        <w:kinsoku/>
        <w:wordWrap/>
        <w:overflowPunct/>
        <w:topLinePunct w:val="0"/>
        <w:autoSpaceDE/>
        <w:autoSpaceDN/>
        <w:bidi w:val="0"/>
        <w:spacing w:line="560" w:lineRule="exact"/>
        <w:ind w:firstLine="632" w:firstLineChars="200"/>
        <w:outlineLvl w:val="0"/>
        <w:rPr>
          <w:rStyle w:val="9"/>
          <w:rFonts w:ascii="黑体" w:hAnsi="黑体" w:eastAsia="黑体"/>
        </w:rPr>
      </w:pPr>
      <w:r>
        <w:rPr>
          <w:rStyle w:val="9"/>
          <w:rFonts w:ascii="黑体" w:hAnsi="黑体" w:eastAsia="黑体"/>
        </w:rPr>
        <w:t>一、起草背景</w:t>
      </w:r>
      <w:r>
        <w:rPr>
          <w:rFonts w:hint="eastAsia" w:ascii="黑体" w:hAnsi="黑体" w:eastAsia="黑体" w:cs="仿宋"/>
          <w:color w:val="auto"/>
          <w:sz w:val="32"/>
          <w:szCs w:val="32"/>
          <w:lang w:eastAsia="zh-CN" w:bidi="ar"/>
        </w:rPr>
        <w:t>和必要性</w:t>
      </w:r>
    </w:p>
    <w:p>
      <w:pPr>
        <w:keepNext w:val="0"/>
        <w:keepLines w:val="0"/>
        <w:pageBreakBefore w:val="0"/>
        <w:widowControl/>
        <w:kinsoku/>
        <w:wordWrap/>
        <w:overflowPunct/>
        <w:topLinePunct w:val="0"/>
        <w:autoSpaceDE/>
        <w:autoSpaceDN/>
        <w:bidi w:val="0"/>
        <w:adjustRightInd w:val="0"/>
        <w:snapToGrid w:val="0"/>
        <w:spacing w:line="560" w:lineRule="exact"/>
        <w:ind w:firstLine="643"/>
        <w:rPr>
          <w:rFonts w:hint="eastAsia" w:ascii="仿宋_GB2312" w:hAnsi="仿宋_GB2312" w:cs="Times New Roman"/>
          <w:color w:val="auto"/>
          <w:sz w:val="32"/>
          <w:highlight w:val="none"/>
          <w:lang w:eastAsia="zh-CN"/>
        </w:rPr>
      </w:pPr>
      <w:r>
        <w:rPr>
          <w:rFonts w:hint="eastAsia" w:ascii="仿宋_GB2312" w:hAnsi="仿宋_GB2312" w:cs="Times New Roman"/>
          <w:color w:val="auto"/>
          <w:sz w:val="32"/>
          <w:highlight w:val="none"/>
          <w:lang w:eastAsia="zh-CN"/>
        </w:rPr>
        <w:t>深汕特别合作区自然旅游资源种类丰富，人文底蕴深厚，山、林、海、岛、河、湖、湿地、温泉汇聚，具有优越的旅游发展条件。但目前全区旅游业整体发展仍处于初级阶段，存在缺少具有核心竞争力的文化旅游龙头企业和特色精品项目，存量资源对深汕文旅形象塑造和整体行业发展的带动作用显著不足，客流吸引力及市场竞争力较弱等问题。</w:t>
      </w:r>
      <w:r>
        <w:rPr>
          <w:rFonts w:hint="eastAsia" w:ascii="仿宋_GB2312" w:hAnsi="仿宋_GB2312" w:cs="Times New Roman"/>
          <w:color w:val="auto"/>
          <w:sz w:val="32"/>
          <w:highlight w:val="none"/>
          <w:lang w:val="en-US" w:eastAsia="zh-CN"/>
        </w:rPr>
        <w:t>为培育壮大深汕特别合作区文化旅游产业市场主体，提升文化旅游产业核心竞争力和“软实力”，推动文化旅游产业高质量发展，</w:t>
      </w:r>
      <w:r>
        <w:rPr>
          <w:rFonts w:hint="eastAsia" w:ascii="仿宋_GB2312" w:hAnsi="仿宋_GB2312" w:cs="Times New Roman"/>
          <w:color w:val="auto"/>
          <w:sz w:val="32"/>
          <w:highlight w:val="none"/>
          <w:lang w:eastAsia="zh-CN"/>
        </w:rPr>
        <w:t>我局草拟了《深圳市深汕特别合作区关于促进文化旅游产业发展的若干措施</w:t>
      </w:r>
      <w:bookmarkStart w:id="39" w:name="_GoBack"/>
      <w:bookmarkEnd w:id="39"/>
      <w:r>
        <w:rPr>
          <w:rFonts w:hint="eastAsia" w:ascii="仿宋_GB2312" w:hAnsi="仿宋_GB2312" w:cs="Times New Roman"/>
          <w:color w:val="auto"/>
          <w:sz w:val="32"/>
          <w:highlight w:val="none"/>
          <w:lang w:eastAsia="zh-CN"/>
        </w:rPr>
        <w:t>》。</w:t>
      </w:r>
    </w:p>
    <w:p>
      <w:pPr>
        <w:keepNext w:val="0"/>
        <w:keepLines w:val="0"/>
        <w:pageBreakBefore w:val="0"/>
        <w:widowControl/>
        <w:tabs>
          <w:tab w:val="left" w:pos="2220"/>
        </w:tabs>
        <w:kinsoku/>
        <w:wordWrap/>
        <w:overflowPunct/>
        <w:topLinePunct w:val="0"/>
        <w:autoSpaceDE/>
        <w:autoSpaceDN/>
        <w:bidi w:val="0"/>
        <w:spacing w:line="560" w:lineRule="exact"/>
        <w:ind w:firstLine="632" w:firstLineChars="200"/>
        <w:outlineLvl w:val="0"/>
        <w:rPr>
          <w:rStyle w:val="9"/>
          <w:rFonts w:ascii="黑体" w:hAnsi="黑体" w:eastAsia="黑体"/>
          <w:szCs w:val="32"/>
        </w:rPr>
      </w:pPr>
      <w:r>
        <w:rPr>
          <w:rStyle w:val="9"/>
          <w:rFonts w:hint="eastAsia" w:ascii="黑体" w:hAnsi="黑体" w:eastAsia="黑体"/>
          <w:szCs w:val="32"/>
          <w:lang w:eastAsia="zh-CN"/>
        </w:rPr>
        <w:t>二</w:t>
      </w:r>
      <w:r>
        <w:rPr>
          <w:rStyle w:val="9"/>
          <w:rFonts w:ascii="黑体" w:hAnsi="黑体" w:eastAsia="黑体"/>
          <w:szCs w:val="32"/>
        </w:rPr>
        <w:t>、起草依据</w:t>
      </w:r>
    </w:p>
    <w:p>
      <w:pPr>
        <w:keepNext w:val="0"/>
        <w:keepLines w:val="0"/>
        <w:pageBreakBefore w:val="0"/>
        <w:widowControl/>
        <w:kinsoku/>
        <w:wordWrap/>
        <w:overflowPunct/>
        <w:topLinePunct w:val="0"/>
        <w:autoSpaceDE/>
        <w:autoSpaceDN/>
        <w:bidi w:val="0"/>
        <w:adjustRightInd w:val="0"/>
        <w:snapToGrid w:val="0"/>
        <w:spacing w:line="560" w:lineRule="exact"/>
        <w:ind w:firstLine="643"/>
        <w:rPr>
          <w:rFonts w:hint="eastAsia" w:ascii="仿宋_GB2312" w:hAnsi="仿宋_GB2312" w:cs="Times New Roman"/>
          <w:color w:val="auto"/>
          <w:sz w:val="32"/>
          <w:highlight w:val="none"/>
          <w:lang w:val="en-US" w:eastAsia="zh-CN"/>
        </w:rPr>
      </w:pPr>
      <w:r>
        <w:rPr>
          <w:rFonts w:hint="default" w:ascii="仿宋_GB2312" w:hAnsi="仿宋_GB2312" w:cs="Times New Roman"/>
          <w:color w:val="auto"/>
          <w:sz w:val="32"/>
          <w:highlight w:val="none"/>
          <w:lang w:val="en-US" w:eastAsia="zh-CN"/>
        </w:rPr>
        <w:t>本</w:t>
      </w:r>
      <w:r>
        <w:rPr>
          <w:rFonts w:hint="eastAsia" w:ascii="仿宋_GB2312" w:hAnsi="仿宋_GB2312" w:cs="Times New Roman"/>
          <w:color w:val="auto"/>
          <w:sz w:val="32"/>
          <w:highlight w:val="none"/>
          <w:lang w:val="en-US" w:eastAsia="zh-CN"/>
        </w:rPr>
        <w:t>若干</w:t>
      </w:r>
      <w:r>
        <w:rPr>
          <w:rFonts w:hint="default" w:ascii="仿宋_GB2312" w:hAnsi="仿宋_GB2312" w:cs="Times New Roman"/>
          <w:color w:val="auto"/>
          <w:sz w:val="32"/>
          <w:highlight w:val="none"/>
          <w:lang w:val="en-US" w:eastAsia="zh-CN"/>
        </w:rPr>
        <w:t>措施参考了《深圳市福田区支持文化旅游体育产业发展若干政策》</w:t>
      </w:r>
      <w:r>
        <w:rPr>
          <w:rFonts w:hint="eastAsia" w:ascii="仿宋_GB2312" w:hAnsi="仿宋_GB2312" w:cs="Times New Roman"/>
          <w:color w:val="auto"/>
          <w:sz w:val="32"/>
          <w:highlight w:val="none"/>
          <w:lang w:val="en-US" w:eastAsia="zh-CN"/>
        </w:rPr>
        <w:t>、《南山区促进文化旅游体育产业发展专项扶持措施》、《盐田区全域旅游产业发展扶持办法》、《宝安区关于促进旅游业发展的若干措施》、《龙华区旅游业补贴》、《深圳市光明区关于支持文化及旅游产业发展的若干措施》、《深圳市大鹏新区关于促进旅游产业发展的若干措施》、《深圳市龙岗区文化广电旅游体育专项资金支持旅游产业发展实施细则》等相关政策，并结合合作区实际进行了修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firstLine="632" w:firstLineChars="200"/>
        <w:jc w:val="left"/>
        <w:textAlignment w:val="auto"/>
        <w:outlineLvl w:val="0"/>
        <w:rPr>
          <w:rFonts w:hint="eastAsia" w:ascii="黑体" w:hAnsi="黑体" w:eastAsia="黑体" w:cs="仿宋"/>
          <w:b w:val="0"/>
          <w:bCs w:val="0"/>
          <w:color w:val="auto"/>
          <w:sz w:val="32"/>
          <w:szCs w:val="32"/>
          <w:lang w:val="en-US" w:eastAsia="zh-CN"/>
        </w:rPr>
      </w:pPr>
      <w:r>
        <w:rPr>
          <w:rFonts w:hint="eastAsia" w:ascii="黑体" w:hAnsi="黑体" w:eastAsia="黑体" w:cs="仿宋"/>
          <w:b w:val="0"/>
          <w:bCs w:val="0"/>
          <w:color w:val="auto"/>
          <w:sz w:val="32"/>
          <w:szCs w:val="32"/>
          <w:lang w:eastAsia="zh-CN"/>
        </w:rPr>
        <w:t>三、主要内容说明</w:t>
      </w:r>
    </w:p>
    <w:p>
      <w:pPr>
        <w:keepNext w:val="0"/>
        <w:keepLines w:val="0"/>
        <w:pageBreakBefore w:val="0"/>
        <w:widowControl/>
        <w:kinsoku/>
        <w:wordWrap/>
        <w:overflowPunct/>
        <w:topLinePunct w:val="0"/>
        <w:autoSpaceDE/>
        <w:autoSpaceDN/>
        <w:bidi w:val="0"/>
        <w:adjustRightInd w:val="0"/>
        <w:snapToGrid w:val="0"/>
        <w:spacing w:line="560" w:lineRule="exact"/>
        <w:ind w:firstLine="643"/>
        <w:rPr>
          <w:rFonts w:hint="eastAsia" w:ascii="仿宋_GB2312" w:hAnsi="仿宋_GB2312" w:cs="Times New Roman"/>
          <w:color w:val="auto"/>
          <w:sz w:val="32"/>
          <w:highlight w:val="none"/>
          <w:lang w:val="en-US" w:eastAsia="zh-CN"/>
        </w:rPr>
      </w:pPr>
      <w:r>
        <w:rPr>
          <w:rFonts w:hint="default" w:ascii="仿宋_GB2312" w:hAnsi="仿宋_GB2312" w:cs="Times New Roman"/>
          <w:color w:val="auto"/>
          <w:sz w:val="32"/>
          <w:highlight w:val="none"/>
          <w:lang w:val="en-US" w:eastAsia="zh-CN"/>
        </w:rPr>
        <w:t>本</w:t>
      </w:r>
      <w:r>
        <w:rPr>
          <w:rFonts w:hint="eastAsia" w:ascii="仿宋_GB2312" w:hAnsi="仿宋_GB2312" w:cs="Times New Roman"/>
          <w:color w:val="auto"/>
          <w:sz w:val="32"/>
          <w:highlight w:val="none"/>
          <w:lang w:val="en-US" w:eastAsia="zh-CN"/>
        </w:rPr>
        <w:t>若干</w:t>
      </w:r>
      <w:r>
        <w:rPr>
          <w:rFonts w:hint="default" w:ascii="仿宋_GB2312" w:hAnsi="仿宋_GB2312" w:cs="Times New Roman"/>
          <w:color w:val="auto"/>
          <w:sz w:val="32"/>
          <w:highlight w:val="none"/>
          <w:lang w:val="en-US" w:eastAsia="zh-CN"/>
        </w:rPr>
        <w:t>措施共分有</w:t>
      </w:r>
      <w:r>
        <w:rPr>
          <w:rFonts w:hint="eastAsia" w:ascii="仿宋_GB2312" w:hAnsi="仿宋_GB2312" w:cs="Times New Roman"/>
          <w:color w:val="auto"/>
          <w:sz w:val="32"/>
          <w:highlight w:val="none"/>
          <w:lang w:val="en-US" w:eastAsia="zh-CN"/>
        </w:rPr>
        <w:t>七</w:t>
      </w:r>
      <w:r>
        <w:rPr>
          <w:rFonts w:hint="default" w:ascii="仿宋_GB2312" w:hAnsi="仿宋_GB2312" w:cs="Times New Roman"/>
          <w:color w:val="auto"/>
          <w:sz w:val="32"/>
          <w:highlight w:val="none"/>
          <w:lang w:val="en-US" w:eastAsia="zh-CN"/>
        </w:rPr>
        <w:t>章，</w:t>
      </w:r>
      <w:r>
        <w:rPr>
          <w:rFonts w:hint="eastAsia" w:ascii="仿宋_GB2312" w:hAnsi="仿宋_GB2312" w:cs="Times New Roman"/>
          <w:color w:val="auto"/>
          <w:sz w:val="32"/>
          <w:highlight w:val="none"/>
          <w:lang w:val="en-US" w:eastAsia="zh-CN"/>
        </w:rPr>
        <w:t>二十七</w:t>
      </w:r>
      <w:r>
        <w:rPr>
          <w:rFonts w:hint="default" w:ascii="仿宋_GB2312" w:hAnsi="仿宋_GB2312" w:cs="Times New Roman"/>
          <w:color w:val="auto"/>
          <w:sz w:val="32"/>
          <w:highlight w:val="none"/>
          <w:lang w:val="en-US" w:eastAsia="zh-CN"/>
        </w:rPr>
        <w:t>条</w:t>
      </w:r>
      <w:r>
        <w:rPr>
          <w:rFonts w:hint="eastAsia" w:ascii="仿宋_GB2312" w:hAnsi="仿宋_GB2312" w:cs="Times New Roman"/>
          <w:color w:val="auto"/>
          <w:sz w:val="32"/>
          <w:highlight w:val="none"/>
          <w:lang w:val="en-US" w:eastAsia="zh-CN"/>
        </w:rPr>
        <w:t>，具体如下：</w:t>
      </w:r>
    </w:p>
    <w:p>
      <w:pPr>
        <w:keepNext w:val="0"/>
        <w:keepLines w:val="0"/>
        <w:pageBreakBefore w:val="0"/>
        <w:widowControl/>
        <w:kinsoku/>
        <w:wordWrap/>
        <w:overflowPunct/>
        <w:topLinePunct w:val="0"/>
        <w:autoSpaceDE/>
        <w:autoSpaceDN/>
        <w:bidi w:val="0"/>
        <w:adjustRightInd w:val="0"/>
        <w:snapToGrid w:val="0"/>
        <w:spacing w:line="560" w:lineRule="exact"/>
        <w:ind w:firstLine="643"/>
        <w:rPr>
          <w:rFonts w:hint="eastAsia" w:ascii="仿宋_GB2312" w:hAnsi="仿宋_GB2312" w:cs="Times New Roman"/>
          <w:color w:val="auto"/>
          <w:sz w:val="32"/>
          <w:highlight w:val="none"/>
          <w:lang w:val="en-US" w:eastAsia="zh-CN"/>
        </w:rPr>
      </w:pPr>
      <w:r>
        <w:rPr>
          <w:rFonts w:hint="default" w:ascii="仿宋_GB2312" w:hAnsi="仿宋_GB2312" w:cs="Times New Roman"/>
          <w:color w:val="auto"/>
          <w:sz w:val="32"/>
          <w:highlight w:val="none"/>
          <w:lang w:val="en-US" w:eastAsia="zh-CN"/>
        </w:rPr>
        <w:t>第一章</w:t>
      </w:r>
      <w:r>
        <w:rPr>
          <w:rFonts w:hint="eastAsia" w:ascii="仿宋_GB2312" w:hAnsi="仿宋_GB2312" w:cs="Times New Roman"/>
          <w:color w:val="auto"/>
          <w:sz w:val="32"/>
          <w:highlight w:val="none"/>
          <w:lang w:val="en-US" w:eastAsia="zh-CN"/>
        </w:rPr>
        <w:t>“</w:t>
      </w:r>
      <w:r>
        <w:rPr>
          <w:rFonts w:hint="default" w:ascii="仿宋_GB2312" w:hAnsi="仿宋_GB2312" w:cs="Times New Roman"/>
          <w:color w:val="auto"/>
          <w:sz w:val="32"/>
          <w:highlight w:val="none"/>
          <w:lang w:val="en-US" w:eastAsia="zh-CN"/>
        </w:rPr>
        <w:t>总则</w:t>
      </w:r>
      <w:r>
        <w:rPr>
          <w:rFonts w:hint="eastAsia" w:ascii="仿宋_GB2312" w:hAnsi="仿宋_GB2312" w:cs="Times New Roman"/>
          <w:color w:val="auto"/>
          <w:sz w:val="32"/>
          <w:highlight w:val="none"/>
          <w:lang w:val="en-US" w:eastAsia="zh-CN"/>
        </w:rPr>
        <w:t>”</w:t>
      </w:r>
      <w:r>
        <w:rPr>
          <w:rFonts w:hint="default" w:ascii="仿宋_GB2312" w:hAnsi="仿宋_GB2312" w:cs="Times New Roman"/>
          <w:color w:val="auto"/>
          <w:sz w:val="32"/>
          <w:highlight w:val="none"/>
          <w:lang w:val="en-US" w:eastAsia="zh-CN"/>
        </w:rPr>
        <w:t>，共</w:t>
      </w:r>
      <w:r>
        <w:rPr>
          <w:rFonts w:hint="eastAsia" w:ascii="仿宋_GB2312" w:hAnsi="仿宋_GB2312" w:cs="Times New Roman"/>
          <w:color w:val="auto"/>
          <w:sz w:val="32"/>
          <w:highlight w:val="none"/>
          <w:lang w:val="en-US" w:eastAsia="zh-CN"/>
        </w:rPr>
        <w:t>两</w:t>
      </w:r>
      <w:r>
        <w:rPr>
          <w:rFonts w:hint="default" w:ascii="仿宋_GB2312" w:hAnsi="仿宋_GB2312" w:cs="Times New Roman"/>
          <w:color w:val="auto"/>
          <w:sz w:val="32"/>
          <w:highlight w:val="none"/>
          <w:lang w:val="en-US" w:eastAsia="zh-CN"/>
        </w:rPr>
        <w:t>条</w:t>
      </w:r>
      <w:r>
        <w:rPr>
          <w:rFonts w:hint="eastAsia" w:ascii="仿宋_GB2312" w:hAnsi="仿宋_GB2312" w:cs="Times New Roman"/>
          <w:color w:val="auto"/>
          <w:sz w:val="32"/>
          <w:highlight w:val="none"/>
          <w:lang w:val="en-US" w:eastAsia="zh-CN"/>
        </w:rPr>
        <w:t>，分别对起草背景和适用对象进行说明。</w:t>
      </w:r>
    </w:p>
    <w:p>
      <w:pPr>
        <w:keepNext w:val="0"/>
        <w:keepLines w:val="0"/>
        <w:pageBreakBefore w:val="0"/>
        <w:widowControl/>
        <w:kinsoku/>
        <w:wordWrap/>
        <w:overflowPunct/>
        <w:topLinePunct w:val="0"/>
        <w:autoSpaceDE/>
        <w:autoSpaceDN/>
        <w:bidi w:val="0"/>
        <w:adjustRightInd w:val="0"/>
        <w:snapToGrid w:val="0"/>
        <w:spacing w:line="560" w:lineRule="exact"/>
        <w:ind w:firstLine="643"/>
        <w:rPr>
          <w:rFonts w:hint="default" w:ascii="仿宋_GB2312" w:hAnsi="仿宋_GB2312" w:cs="Times New Roman"/>
          <w:color w:val="auto"/>
          <w:sz w:val="32"/>
          <w:highlight w:val="none"/>
          <w:lang w:val="en-US" w:eastAsia="zh-CN"/>
        </w:rPr>
      </w:pPr>
      <w:r>
        <w:rPr>
          <w:rFonts w:hint="default" w:ascii="仿宋_GB2312" w:hAnsi="仿宋_GB2312" w:cs="Times New Roman"/>
          <w:color w:val="auto"/>
          <w:sz w:val="32"/>
          <w:highlight w:val="none"/>
          <w:lang w:val="en-US" w:eastAsia="zh-CN"/>
        </w:rPr>
        <w:t>第二章</w:t>
      </w:r>
      <w:r>
        <w:rPr>
          <w:rFonts w:hint="eastAsia" w:ascii="仿宋_GB2312" w:hAnsi="仿宋_GB2312" w:cs="Times New Roman"/>
          <w:color w:val="auto"/>
          <w:sz w:val="32"/>
          <w:highlight w:val="none"/>
          <w:lang w:val="en-US" w:eastAsia="zh-CN"/>
        </w:rPr>
        <w:t>“</w:t>
      </w:r>
      <w:bookmarkStart w:id="0" w:name="_Toc948889259"/>
      <w:bookmarkStart w:id="1" w:name="_Toc1445451692"/>
      <w:bookmarkStart w:id="2" w:name="_Toc18843"/>
      <w:bookmarkStart w:id="3" w:name="_Toc1668658732"/>
      <w:bookmarkStart w:id="4" w:name="_Toc1833952650"/>
      <w:bookmarkStart w:id="5" w:name="_Toc954919414_WPSOffice_Level1"/>
      <w:bookmarkStart w:id="6" w:name="_Toc1692774393"/>
      <w:bookmarkStart w:id="7" w:name="_Toc978846243"/>
      <w:r>
        <w:rPr>
          <w:rFonts w:hint="eastAsia" w:ascii="仿宋_GB2312" w:hAnsi="仿宋_GB2312" w:cs="Times New Roman"/>
          <w:color w:val="auto"/>
          <w:sz w:val="32"/>
          <w:highlight w:val="none"/>
          <w:lang w:val="en-US" w:eastAsia="zh-CN"/>
        </w:rPr>
        <w:t>引进培育文化、体育、旅游业”，共七条，一是鼓励营利性服务业企业（点）创优评级、积极纳统、提升基础设施水平。二是鼓励引进高品质重大文化、体育、旅游项目。</w:t>
      </w:r>
    </w:p>
    <w:p>
      <w:pPr>
        <w:keepNext w:val="0"/>
        <w:keepLines w:val="0"/>
        <w:pageBreakBefore w:val="0"/>
        <w:widowControl/>
        <w:kinsoku/>
        <w:wordWrap/>
        <w:overflowPunct/>
        <w:topLinePunct w:val="0"/>
        <w:autoSpaceDE/>
        <w:autoSpaceDN/>
        <w:bidi w:val="0"/>
        <w:adjustRightInd w:val="0"/>
        <w:snapToGrid w:val="0"/>
        <w:spacing w:line="560" w:lineRule="exact"/>
        <w:ind w:firstLine="643"/>
        <w:rPr>
          <w:rFonts w:hint="eastAsia" w:ascii="仿宋_GB2312" w:hAnsi="仿宋_GB2312" w:cs="Times New Roman"/>
          <w:color w:val="auto"/>
          <w:sz w:val="32"/>
          <w:highlight w:val="none"/>
          <w:lang w:val="en-US" w:eastAsia="zh-CN"/>
        </w:rPr>
      </w:pPr>
      <w:r>
        <w:rPr>
          <w:rFonts w:hint="default" w:ascii="仿宋_GB2312" w:hAnsi="仿宋_GB2312" w:cs="Times New Roman"/>
          <w:color w:val="auto"/>
          <w:sz w:val="32"/>
          <w:highlight w:val="none"/>
          <w:lang w:val="en-US" w:eastAsia="zh-CN"/>
        </w:rPr>
        <w:t>第三章</w:t>
      </w:r>
      <w:r>
        <w:rPr>
          <w:rFonts w:hint="eastAsia" w:ascii="仿宋_GB2312" w:hAnsi="仿宋_GB2312" w:cs="Times New Roman"/>
          <w:color w:val="auto"/>
          <w:sz w:val="32"/>
          <w:highlight w:val="none"/>
          <w:lang w:val="en-US" w:eastAsia="zh-CN"/>
        </w:rPr>
        <w:t>“</w:t>
      </w:r>
      <w:bookmarkEnd w:id="0"/>
      <w:bookmarkEnd w:id="1"/>
      <w:bookmarkEnd w:id="2"/>
      <w:bookmarkEnd w:id="3"/>
      <w:bookmarkEnd w:id="4"/>
      <w:bookmarkEnd w:id="5"/>
      <w:bookmarkEnd w:id="6"/>
      <w:bookmarkEnd w:id="7"/>
      <w:bookmarkStart w:id="8" w:name="_Toc1196085139"/>
      <w:bookmarkStart w:id="9" w:name="_Toc1148210537"/>
      <w:bookmarkStart w:id="10" w:name="_Toc508140592"/>
      <w:bookmarkStart w:id="11" w:name="_Toc1968118101"/>
      <w:bookmarkStart w:id="12" w:name="_Toc647385307"/>
      <w:bookmarkStart w:id="13" w:name="_Toc1207532806"/>
      <w:r>
        <w:rPr>
          <w:rFonts w:hint="default" w:ascii="仿宋_GB2312" w:hAnsi="仿宋_GB2312" w:cs="Times New Roman"/>
          <w:color w:val="auto"/>
          <w:sz w:val="32"/>
          <w:highlight w:val="none"/>
          <w:lang w:val="en-US" w:eastAsia="zh-CN"/>
        </w:rPr>
        <w:t>引进培育优质住宿业</w:t>
      </w:r>
      <w:r>
        <w:rPr>
          <w:rFonts w:hint="eastAsia" w:ascii="仿宋_GB2312" w:hAnsi="仿宋_GB2312" w:cs="Times New Roman"/>
          <w:color w:val="auto"/>
          <w:sz w:val="32"/>
          <w:highlight w:val="none"/>
          <w:lang w:val="en-US" w:eastAsia="zh-CN"/>
        </w:rPr>
        <w:t>”，共两条，一是鼓励酒店高品质发展；二是鼓励民宿积极参与创优评级。</w:t>
      </w:r>
    </w:p>
    <w:p>
      <w:pPr>
        <w:keepNext w:val="0"/>
        <w:keepLines w:val="0"/>
        <w:pageBreakBefore w:val="0"/>
        <w:widowControl/>
        <w:kinsoku/>
        <w:wordWrap/>
        <w:overflowPunct/>
        <w:topLinePunct w:val="0"/>
        <w:autoSpaceDE/>
        <w:autoSpaceDN/>
        <w:bidi w:val="0"/>
        <w:adjustRightInd w:val="0"/>
        <w:snapToGrid w:val="0"/>
        <w:spacing w:line="560" w:lineRule="exact"/>
        <w:ind w:firstLine="643"/>
        <w:rPr>
          <w:rFonts w:hint="eastAsia" w:ascii="仿宋_GB2312" w:hAnsi="仿宋_GB2312" w:cs="Times New Roman"/>
          <w:color w:val="auto"/>
          <w:sz w:val="32"/>
          <w:highlight w:val="none"/>
          <w:lang w:val="en-US" w:eastAsia="zh-CN"/>
        </w:rPr>
      </w:pPr>
      <w:r>
        <w:rPr>
          <w:rFonts w:hint="default" w:ascii="仿宋_GB2312" w:hAnsi="仿宋_GB2312" w:cs="Times New Roman"/>
          <w:color w:val="auto"/>
          <w:sz w:val="32"/>
          <w:highlight w:val="none"/>
          <w:lang w:val="en-US" w:eastAsia="zh-CN"/>
        </w:rPr>
        <w:t>第四章</w:t>
      </w:r>
      <w:r>
        <w:rPr>
          <w:rFonts w:hint="eastAsia" w:ascii="仿宋_GB2312" w:hAnsi="仿宋_GB2312" w:cs="Times New Roman"/>
          <w:color w:val="auto"/>
          <w:sz w:val="32"/>
          <w:highlight w:val="none"/>
          <w:lang w:val="en-US" w:eastAsia="zh-CN"/>
        </w:rPr>
        <w:t>“</w:t>
      </w:r>
      <w:bookmarkEnd w:id="8"/>
      <w:bookmarkEnd w:id="9"/>
      <w:bookmarkEnd w:id="10"/>
      <w:bookmarkEnd w:id="11"/>
      <w:bookmarkEnd w:id="12"/>
      <w:bookmarkEnd w:id="13"/>
      <w:bookmarkStart w:id="14" w:name="_Toc285580185"/>
      <w:bookmarkStart w:id="15" w:name="_Toc1783928975"/>
      <w:bookmarkStart w:id="16" w:name="_Toc208354021"/>
      <w:bookmarkStart w:id="17" w:name="_Toc1910816363"/>
      <w:r>
        <w:rPr>
          <w:rFonts w:hint="default" w:ascii="仿宋_GB2312" w:hAnsi="仿宋_GB2312" w:cs="Times New Roman"/>
          <w:color w:val="auto"/>
          <w:sz w:val="32"/>
          <w:highlight w:val="none"/>
          <w:lang w:val="en-US" w:eastAsia="zh-CN"/>
        </w:rPr>
        <w:t>引进培育优质旅行社</w:t>
      </w:r>
      <w:r>
        <w:rPr>
          <w:rFonts w:hint="eastAsia" w:ascii="仿宋_GB2312" w:hAnsi="仿宋_GB2312" w:cs="Times New Roman"/>
          <w:color w:val="auto"/>
          <w:sz w:val="32"/>
          <w:highlight w:val="none"/>
          <w:lang w:val="en-US" w:eastAsia="zh-CN"/>
        </w:rPr>
        <w:t>”，共三条，一是支持品牌旅行社发展。二是鼓励旅行社提升经济效益。</w:t>
      </w:r>
    </w:p>
    <w:p>
      <w:pPr>
        <w:keepNext w:val="0"/>
        <w:keepLines w:val="0"/>
        <w:pageBreakBefore w:val="0"/>
        <w:widowControl/>
        <w:kinsoku/>
        <w:wordWrap/>
        <w:overflowPunct/>
        <w:topLinePunct w:val="0"/>
        <w:autoSpaceDE/>
        <w:autoSpaceDN/>
        <w:bidi w:val="0"/>
        <w:adjustRightInd w:val="0"/>
        <w:snapToGrid w:val="0"/>
        <w:spacing w:line="560" w:lineRule="exact"/>
        <w:ind w:firstLine="643"/>
        <w:rPr>
          <w:rFonts w:hint="eastAsia" w:ascii="仿宋_GB2312" w:hAnsi="仿宋_GB2312" w:cs="Times New Roman"/>
          <w:color w:val="auto"/>
          <w:sz w:val="32"/>
          <w:highlight w:val="none"/>
          <w:lang w:val="en-US" w:eastAsia="zh-CN"/>
        </w:rPr>
      </w:pPr>
      <w:r>
        <w:rPr>
          <w:rFonts w:hint="default" w:ascii="仿宋_GB2312" w:hAnsi="仿宋_GB2312" w:cs="Times New Roman"/>
          <w:color w:val="auto"/>
          <w:sz w:val="32"/>
          <w:highlight w:val="none"/>
          <w:lang w:val="en-US" w:eastAsia="zh-CN"/>
        </w:rPr>
        <w:t>第五章</w:t>
      </w:r>
      <w:r>
        <w:rPr>
          <w:rFonts w:hint="eastAsia" w:ascii="仿宋_GB2312" w:hAnsi="仿宋_GB2312" w:cs="Times New Roman"/>
          <w:color w:val="auto"/>
          <w:sz w:val="32"/>
          <w:highlight w:val="none"/>
          <w:lang w:val="en-US" w:eastAsia="zh-CN"/>
        </w:rPr>
        <w:t>“</w:t>
      </w:r>
      <w:bookmarkEnd w:id="14"/>
      <w:bookmarkEnd w:id="15"/>
      <w:bookmarkEnd w:id="16"/>
      <w:bookmarkEnd w:id="17"/>
      <w:bookmarkStart w:id="18" w:name="_Toc733170284"/>
      <w:bookmarkStart w:id="19" w:name="_Toc34797168"/>
      <w:bookmarkStart w:id="20" w:name="_Toc1226672587"/>
      <w:bookmarkStart w:id="21" w:name="_Toc9960"/>
      <w:bookmarkStart w:id="22" w:name="_Toc1934659232"/>
      <w:bookmarkStart w:id="23" w:name="_Toc1882749701"/>
      <w:bookmarkStart w:id="24" w:name="_Toc1126967536"/>
      <w:r>
        <w:rPr>
          <w:rFonts w:hint="default" w:ascii="仿宋_GB2312" w:hAnsi="仿宋_GB2312" w:cs="Times New Roman"/>
          <w:color w:val="auto"/>
          <w:sz w:val="32"/>
          <w:highlight w:val="none"/>
          <w:lang w:val="en-US" w:eastAsia="zh-CN"/>
        </w:rPr>
        <w:t>鼓励</w:t>
      </w:r>
      <w:r>
        <w:rPr>
          <w:rFonts w:hint="eastAsia" w:ascii="仿宋_GB2312" w:hAnsi="仿宋_GB2312" w:cs="Times New Roman"/>
          <w:color w:val="auto"/>
          <w:sz w:val="32"/>
          <w:highlight w:val="none"/>
          <w:lang w:val="en-US" w:eastAsia="zh-CN"/>
        </w:rPr>
        <w:t>文化</w:t>
      </w:r>
      <w:r>
        <w:rPr>
          <w:rFonts w:hint="default" w:ascii="仿宋_GB2312" w:hAnsi="仿宋_GB2312" w:cs="Times New Roman"/>
          <w:color w:val="auto"/>
          <w:sz w:val="32"/>
          <w:highlight w:val="none"/>
          <w:lang w:val="en-US" w:eastAsia="zh-CN"/>
        </w:rPr>
        <w:t>旅游宣传推广</w:t>
      </w:r>
      <w:r>
        <w:rPr>
          <w:rFonts w:hint="eastAsia" w:ascii="仿宋_GB2312" w:hAnsi="仿宋_GB2312" w:cs="Times New Roman"/>
          <w:color w:val="auto"/>
          <w:sz w:val="32"/>
          <w:highlight w:val="none"/>
          <w:lang w:val="en-US" w:eastAsia="zh-CN"/>
        </w:rPr>
        <w:t>”，共四条，</w:t>
      </w:r>
      <w:bookmarkEnd w:id="18"/>
      <w:bookmarkEnd w:id="19"/>
      <w:bookmarkEnd w:id="20"/>
      <w:bookmarkEnd w:id="21"/>
      <w:bookmarkEnd w:id="22"/>
      <w:bookmarkEnd w:id="23"/>
      <w:bookmarkEnd w:id="24"/>
      <w:bookmarkStart w:id="25" w:name="_Toc973189264"/>
      <w:bookmarkStart w:id="26" w:name="_Toc578766422"/>
      <w:bookmarkStart w:id="27" w:name="_Toc985158485"/>
      <w:bookmarkStart w:id="28" w:name="_Toc1199513605"/>
      <w:bookmarkStart w:id="29" w:name="_Toc2114676092"/>
      <w:bookmarkStart w:id="30" w:name="_Toc1014445435"/>
      <w:r>
        <w:rPr>
          <w:rFonts w:hint="eastAsia" w:ascii="仿宋_GB2312" w:hAnsi="仿宋_GB2312" w:cs="Times New Roman"/>
          <w:color w:val="auto"/>
          <w:sz w:val="32"/>
          <w:highlight w:val="none"/>
          <w:lang w:val="en-US" w:eastAsia="zh-CN"/>
        </w:rPr>
        <w:t>一是鼓励企业参加文化旅游主管部门报备获认可的博览会。二是支持举办对深汕特别合作区文化旅游行业发展有显著推动作用的重大文化旅游活动。三是鼓励企业打造具有特色的文化旅游商品。</w:t>
      </w:r>
    </w:p>
    <w:p>
      <w:pPr>
        <w:keepNext w:val="0"/>
        <w:keepLines w:val="0"/>
        <w:pageBreakBefore w:val="0"/>
        <w:widowControl/>
        <w:kinsoku/>
        <w:wordWrap/>
        <w:overflowPunct/>
        <w:topLinePunct w:val="0"/>
        <w:autoSpaceDE/>
        <w:autoSpaceDN/>
        <w:bidi w:val="0"/>
        <w:adjustRightInd w:val="0"/>
        <w:snapToGrid w:val="0"/>
        <w:spacing w:line="560" w:lineRule="exact"/>
        <w:ind w:firstLine="643"/>
        <w:rPr>
          <w:rFonts w:hint="eastAsia" w:ascii="仿宋_GB2312" w:hAnsi="仿宋_GB2312" w:cs="Times New Roman"/>
          <w:color w:val="auto"/>
          <w:sz w:val="32"/>
          <w:highlight w:val="none"/>
          <w:lang w:val="en-US" w:eastAsia="zh-CN"/>
        </w:rPr>
      </w:pPr>
      <w:r>
        <w:rPr>
          <w:rFonts w:hint="default" w:ascii="仿宋_GB2312" w:hAnsi="仿宋_GB2312" w:cs="Times New Roman"/>
          <w:color w:val="auto"/>
          <w:sz w:val="32"/>
          <w:highlight w:val="none"/>
          <w:lang w:val="en-US" w:eastAsia="zh-CN"/>
        </w:rPr>
        <w:t>第六章</w:t>
      </w:r>
      <w:r>
        <w:rPr>
          <w:rFonts w:hint="eastAsia" w:ascii="仿宋_GB2312" w:hAnsi="仿宋_GB2312" w:cs="Times New Roman"/>
          <w:color w:val="auto"/>
          <w:sz w:val="32"/>
          <w:highlight w:val="none"/>
          <w:lang w:val="en-US" w:eastAsia="zh-CN"/>
        </w:rPr>
        <w:t>“支持繁荣文化市场”，共四条，一是鼓励引进高品质重大文化企业（项目），二是鼓励举办常驻经营性特色文化表演和夜间经济业态创新，三是扶持改建项目或新建文化产业园区，四是鼓励文化企业以及相关行业协会争取市级（含）以上文化（创意）产业发展资金支持。</w:t>
      </w:r>
    </w:p>
    <w:p>
      <w:pPr>
        <w:keepNext w:val="0"/>
        <w:keepLines w:val="0"/>
        <w:pageBreakBefore w:val="0"/>
        <w:widowControl/>
        <w:kinsoku/>
        <w:wordWrap/>
        <w:overflowPunct/>
        <w:topLinePunct w:val="0"/>
        <w:autoSpaceDE/>
        <w:autoSpaceDN/>
        <w:bidi w:val="0"/>
        <w:adjustRightInd w:val="0"/>
        <w:snapToGrid w:val="0"/>
        <w:spacing w:line="560" w:lineRule="exact"/>
        <w:ind w:firstLine="643"/>
        <w:rPr>
          <w:rFonts w:hint="eastAsia" w:ascii="仿宋_GB2312" w:hAnsi="仿宋_GB2312" w:cs="Times New Roman"/>
          <w:color w:val="auto"/>
          <w:sz w:val="32"/>
          <w:highlight w:val="none"/>
          <w:lang w:val="en-US" w:eastAsia="zh-CN"/>
        </w:rPr>
      </w:pPr>
      <w:r>
        <w:rPr>
          <w:rFonts w:hint="default" w:ascii="仿宋_GB2312" w:hAnsi="仿宋_GB2312" w:cs="Times New Roman"/>
          <w:color w:val="auto"/>
          <w:sz w:val="32"/>
          <w:highlight w:val="none"/>
          <w:lang w:val="en-US" w:eastAsia="zh-CN"/>
        </w:rPr>
        <w:t>第</w:t>
      </w:r>
      <w:r>
        <w:rPr>
          <w:rFonts w:hint="eastAsia" w:ascii="仿宋_GB2312" w:hAnsi="仿宋_GB2312" w:cs="Times New Roman"/>
          <w:color w:val="auto"/>
          <w:sz w:val="32"/>
          <w:highlight w:val="none"/>
          <w:lang w:val="en-US" w:eastAsia="zh-CN"/>
        </w:rPr>
        <w:t>七</w:t>
      </w:r>
      <w:r>
        <w:rPr>
          <w:rFonts w:hint="default" w:ascii="仿宋_GB2312" w:hAnsi="仿宋_GB2312" w:cs="Times New Roman"/>
          <w:color w:val="auto"/>
          <w:sz w:val="32"/>
          <w:highlight w:val="none"/>
          <w:lang w:val="en-US" w:eastAsia="zh-CN"/>
        </w:rPr>
        <w:t>章</w:t>
      </w:r>
      <w:bookmarkEnd w:id="25"/>
      <w:bookmarkEnd w:id="26"/>
      <w:bookmarkEnd w:id="27"/>
      <w:bookmarkEnd w:id="28"/>
      <w:bookmarkEnd w:id="29"/>
      <w:bookmarkEnd w:id="30"/>
      <w:bookmarkStart w:id="31" w:name="_Toc28498051_WPSOffice_Level1"/>
      <w:bookmarkStart w:id="32" w:name="_Toc1459146333"/>
      <w:bookmarkStart w:id="33" w:name="_Toc1898529474"/>
      <w:bookmarkStart w:id="34" w:name="_Toc854661544"/>
      <w:bookmarkStart w:id="35" w:name="_Toc1557737621"/>
      <w:bookmarkStart w:id="36" w:name="_Toc945065219"/>
      <w:bookmarkStart w:id="37" w:name="_Toc23347"/>
      <w:bookmarkStart w:id="38" w:name="_Toc714639549"/>
      <w:r>
        <w:rPr>
          <w:rFonts w:hint="eastAsia" w:ascii="仿宋_GB2312" w:hAnsi="仿宋_GB2312" w:cs="Times New Roman"/>
          <w:color w:val="auto"/>
          <w:sz w:val="32"/>
          <w:highlight w:val="none"/>
          <w:lang w:val="en-US" w:eastAsia="zh-CN"/>
        </w:rPr>
        <w:t>“附则</w:t>
      </w:r>
      <w:bookmarkEnd w:id="31"/>
      <w:bookmarkEnd w:id="32"/>
      <w:bookmarkEnd w:id="33"/>
      <w:bookmarkEnd w:id="34"/>
      <w:bookmarkEnd w:id="35"/>
      <w:bookmarkEnd w:id="36"/>
      <w:bookmarkEnd w:id="37"/>
      <w:bookmarkEnd w:id="38"/>
      <w:r>
        <w:rPr>
          <w:rFonts w:hint="eastAsia" w:ascii="仿宋_GB2312" w:hAnsi="仿宋_GB2312" w:cs="Times New Roman"/>
          <w:color w:val="auto"/>
          <w:sz w:val="32"/>
          <w:highlight w:val="none"/>
          <w:lang w:val="en-US" w:eastAsia="zh-CN"/>
        </w:rPr>
        <w:t>”，共五条，主要对本《措施》的其他事项进行补充说明。</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32" w:firstLineChars="200"/>
        <w:jc w:val="both"/>
        <w:textAlignment w:val="auto"/>
        <w:outlineLvl w:val="0"/>
        <w:rPr>
          <w:rFonts w:hint="eastAsia" w:ascii="黑体" w:hAnsi="黑体" w:eastAsia="黑体" w:cs="仿宋"/>
          <w:color w:val="auto"/>
          <w:sz w:val="32"/>
          <w:szCs w:val="32"/>
          <w:lang w:val="en-US" w:eastAsia="zh-CN"/>
        </w:rPr>
      </w:pPr>
      <w:r>
        <w:rPr>
          <w:rFonts w:hint="eastAsia" w:ascii="黑体" w:hAnsi="黑体" w:eastAsia="黑体" w:cs="仿宋"/>
          <w:color w:val="auto"/>
          <w:sz w:val="32"/>
          <w:szCs w:val="32"/>
          <w:lang w:eastAsia="zh-CN"/>
        </w:rPr>
        <w:t>制定意义</w:t>
      </w:r>
    </w:p>
    <w:p>
      <w:pPr>
        <w:keepNext w:val="0"/>
        <w:keepLines w:val="0"/>
        <w:pageBreakBefore w:val="0"/>
        <w:widowControl/>
        <w:kinsoku/>
        <w:wordWrap/>
        <w:overflowPunct/>
        <w:topLinePunct w:val="0"/>
        <w:autoSpaceDE/>
        <w:autoSpaceDN/>
        <w:bidi w:val="0"/>
        <w:adjustRightInd w:val="0"/>
        <w:snapToGrid w:val="0"/>
        <w:spacing w:line="560" w:lineRule="exact"/>
        <w:ind w:firstLine="643"/>
        <w:rPr>
          <w:rFonts w:hint="eastAsia" w:ascii="仿宋_GB2312" w:hAnsi="仿宋_GB2312" w:cs="Times New Roman"/>
          <w:color w:val="auto"/>
          <w:sz w:val="32"/>
          <w:highlight w:val="none"/>
          <w:lang w:val="en-US" w:eastAsia="zh-CN"/>
        </w:rPr>
      </w:pPr>
      <w:r>
        <w:rPr>
          <w:rFonts w:hint="eastAsia" w:ascii="仿宋_GB2312" w:hAnsi="仿宋_GB2312" w:cs="Times New Roman"/>
          <w:color w:val="auto"/>
          <w:sz w:val="32"/>
          <w:highlight w:val="none"/>
          <w:lang w:val="en-US" w:eastAsia="zh-CN"/>
        </w:rPr>
        <w:t>本若干</w:t>
      </w:r>
      <w:r>
        <w:rPr>
          <w:rFonts w:hint="default" w:ascii="仿宋_GB2312" w:hAnsi="仿宋_GB2312" w:cs="Times New Roman"/>
          <w:color w:val="auto"/>
          <w:sz w:val="32"/>
          <w:highlight w:val="none"/>
          <w:lang w:val="en-US" w:eastAsia="zh-CN"/>
        </w:rPr>
        <w:t>措施</w:t>
      </w:r>
      <w:r>
        <w:rPr>
          <w:rFonts w:hint="eastAsia" w:ascii="仿宋_GB2312" w:hAnsi="仿宋_GB2312" w:cs="Times New Roman"/>
          <w:color w:val="auto"/>
          <w:sz w:val="32"/>
          <w:highlight w:val="none"/>
          <w:lang w:val="en-US" w:eastAsia="zh-CN"/>
        </w:rPr>
        <w:t>旨在以公平、公开、公正、规范、高效为原则，采取自愿申报、专家评审、社会公示、政府审核等办法确定资助对象，通过对符合深汕特别合作区区产业导向、有利于促进合作区发展的文化旅游企业、特色文化旅游项目和活动等予以适当支持，夯实文化旅游发展支撑，营造文化旅游业发展氛围，加快我区文化旅游业转型升级，推动优势文化旅游企业提升市场竞争力和品牌知名度，以满足人民对文化旅游的美好需求。</w:t>
      </w:r>
    </w:p>
    <w:p>
      <w:pPr>
        <w:pStyle w:val="3"/>
        <w:keepNext w:val="0"/>
        <w:keepLines w:val="0"/>
        <w:pageBreakBefore w:val="0"/>
        <w:widowControl/>
        <w:kinsoku/>
        <w:wordWrap/>
        <w:overflowPunct/>
        <w:topLinePunct w:val="0"/>
        <w:autoSpaceDE/>
        <w:autoSpaceDN/>
        <w:bidi w:val="0"/>
        <w:spacing w:line="560" w:lineRule="exact"/>
      </w:pPr>
    </w:p>
    <w:sectPr>
      <w:footerReference r:id="rId3" w:type="default"/>
      <w:pgSz w:w="11906" w:h="16838"/>
      <w:pgMar w:top="2098" w:right="1474" w:bottom="1985" w:left="1588" w:header="851" w:footer="141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6</w:t>
    </w:r>
    <w:r>
      <w:fldChar w:fldCharType="end"/>
    </w:r>
  </w:p>
  <w:p>
    <w:pPr>
      <w:pStyle w:val="13"/>
      <w:rPr>
        <w:rStyle w:val="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B56867"/>
    <w:multiLevelType w:val="singleLevel"/>
    <w:tmpl w:val="EAB5686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isplayHorizontalDrawingGridEvery w:val="1"/>
  <w:displayVerticalDrawingGridEvery w:val="1"/>
  <w:doNotUseMarginsForDrawingGridOrigin w:val="true"/>
  <w:drawingGridHorizontalOrigin w:val="1800"/>
  <w:drawingGridVerticalOrigin w:val="1440"/>
  <w:noPunctuationKerning w:val="true"/>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607"/>
    <w:rsid w:val="00071946"/>
    <w:rsid w:val="00104607"/>
    <w:rsid w:val="00315696"/>
    <w:rsid w:val="00566842"/>
    <w:rsid w:val="00ED467E"/>
    <w:rsid w:val="01CC520A"/>
    <w:rsid w:val="03696D16"/>
    <w:rsid w:val="059C7754"/>
    <w:rsid w:val="076C76B9"/>
    <w:rsid w:val="07F603DD"/>
    <w:rsid w:val="08114ECA"/>
    <w:rsid w:val="08511763"/>
    <w:rsid w:val="0BFF173F"/>
    <w:rsid w:val="0FAE5C88"/>
    <w:rsid w:val="10B55C34"/>
    <w:rsid w:val="11D36296"/>
    <w:rsid w:val="13765A73"/>
    <w:rsid w:val="14DB28DD"/>
    <w:rsid w:val="158B4F63"/>
    <w:rsid w:val="17800347"/>
    <w:rsid w:val="17EA3970"/>
    <w:rsid w:val="181A2582"/>
    <w:rsid w:val="19962E90"/>
    <w:rsid w:val="1A813771"/>
    <w:rsid w:val="1B7442C7"/>
    <w:rsid w:val="22354341"/>
    <w:rsid w:val="224A5DD0"/>
    <w:rsid w:val="22B656CF"/>
    <w:rsid w:val="24236F02"/>
    <w:rsid w:val="24555689"/>
    <w:rsid w:val="249F343B"/>
    <w:rsid w:val="25604B01"/>
    <w:rsid w:val="27AC3E42"/>
    <w:rsid w:val="28F61BDF"/>
    <w:rsid w:val="2A5A193E"/>
    <w:rsid w:val="2AFA727D"/>
    <w:rsid w:val="2AFD580D"/>
    <w:rsid w:val="2BAC4889"/>
    <w:rsid w:val="2C9324BB"/>
    <w:rsid w:val="2D4C6F1D"/>
    <w:rsid w:val="2D5812ED"/>
    <w:rsid w:val="2F657230"/>
    <w:rsid w:val="2FE76226"/>
    <w:rsid w:val="304E34E4"/>
    <w:rsid w:val="31FF1663"/>
    <w:rsid w:val="32D85A0E"/>
    <w:rsid w:val="35D10A0B"/>
    <w:rsid w:val="3783129D"/>
    <w:rsid w:val="37EFE690"/>
    <w:rsid w:val="381E6FAC"/>
    <w:rsid w:val="395339B3"/>
    <w:rsid w:val="3AD1386B"/>
    <w:rsid w:val="3B9920F6"/>
    <w:rsid w:val="3BDD34B4"/>
    <w:rsid w:val="3D48273E"/>
    <w:rsid w:val="3DEC558E"/>
    <w:rsid w:val="3F326E0F"/>
    <w:rsid w:val="3FDA4251"/>
    <w:rsid w:val="3FEE2E1C"/>
    <w:rsid w:val="414305B7"/>
    <w:rsid w:val="41477B0C"/>
    <w:rsid w:val="434967DC"/>
    <w:rsid w:val="473C1A2D"/>
    <w:rsid w:val="47423EE9"/>
    <w:rsid w:val="479F07E2"/>
    <w:rsid w:val="47F7EABC"/>
    <w:rsid w:val="49271448"/>
    <w:rsid w:val="49624BE3"/>
    <w:rsid w:val="499E3DAC"/>
    <w:rsid w:val="49F476B1"/>
    <w:rsid w:val="4B4E1845"/>
    <w:rsid w:val="4CB8427C"/>
    <w:rsid w:val="4CB91FE6"/>
    <w:rsid w:val="4CE62712"/>
    <w:rsid w:val="507454D6"/>
    <w:rsid w:val="51D34304"/>
    <w:rsid w:val="52D705B8"/>
    <w:rsid w:val="53254673"/>
    <w:rsid w:val="53745CD8"/>
    <w:rsid w:val="54704E5B"/>
    <w:rsid w:val="567B71D5"/>
    <w:rsid w:val="578068FB"/>
    <w:rsid w:val="583207C3"/>
    <w:rsid w:val="5859635C"/>
    <w:rsid w:val="58FA7C46"/>
    <w:rsid w:val="596C0D0B"/>
    <w:rsid w:val="59C302F6"/>
    <w:rsid w:val="5B877315"/>
    <w:rsid w:val="5D732537"/>
    <w:rsid w:val="5F2F2F48"/>
    <w:rsid w:val="5F345C92"/>
    <w:rsid w:val="5F3F1067"/>
    <w:rsid w:val="5F4C67FD"/>
    <w:rsid w:val="5F5B3B3E"/>
    <w:rsid w:val="608845A2"/>
    <w:rsid w:val="6324701B"/>
    <w:rsid w:val="63315755"/>
    <w:rsid w:val="676668C0"/>
    <w:rsid w:val="68735152"/>
    <w:rsid w:val="68D5569F"/>
    <w:rsid w:val="6A712984"/>
    <w:rsid w:val="6C3273D9"/>
    <w:rsid w:val="6D55266F"/>
    <w:rsid w:val="6DC00AA2"/>
    <w:rsid w:val="6F243C71"/>
    <w:rsid w:val="706511A1"/>
    <w:rsid w:val="713752FF"/>
    <w:rsid w:val="728B1E9A"/>
    <w:rsid w:val="72E02809"/>
    <w:rsid w:val="745A0298"/>
    <w:rsid w:val="77B43846"/>
    <w:rsid w:val="77BC1E47"/>
    <w:rsid w:val="77DFF137"/>
    <w:rsid w:val="781C1733"/>
    <w:rsid w:val="7B7A67D6"/>
    <w:rsid w:val="7BFE79FE"/>
    <w:rsid w:val="7D4B5547"/>
    <w:rsid w:val="7DD40120"/>
    <w:rsid w:val="7F5B68BA"/>
    <w:rsid w:val="7FBBE9BD"/>
    <w:rsid w:val="7FD9131A"/>
    <w:rsid w:val="DFBFE037"/>
    <w:rsid w:val="E3F77134"/>
    <w:rsid w:val="E5BF8A77"/>
    <w:rsid w:val="E8FD4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9"/>
    <w:pPr>
      <w:spacing w:line="600" w:lineRule="exact"/>
      <w:outlineLvl w:val="0"/>
    </w:pPr>
    <w:rPr>
      <w:rFonts w:ascii="Times New Roman" w:hAnsi="Times New Roman"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TOC2"/>
    <w:basedOn w:val="1"/>
    <w:next w:val="1"/>
    <w:qFormat/>
    <w:uiPriority w:val="0"/>
    <w:pPr>
      <w:textAlignment w:val="baseline"/>
    </w:pPr>
    <w:rPr>
      <w:rFonts w:ascii="Times New Roman" w:hAnsi="Times New Roman" w:eastAsia="宋体" w:cs="Times New Roman"/>
    </w:rPr>
  </w:style>
  <w:style w:type="paragraph" w:styleId="4">
    <w:name w:val="annotation text"/>
    <w:basedOn w:val="1"/>
    <w:qFormat/>
    <w:uiPriority w:val="0"/>
    <w:pPr>
      <w:jc w:val="left"/>
    </w:p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NormalCharacter"/>
    <w:qFormat/>
    <w:uiPriority w:val="0"/>
  </w:style>
  <w:style w:type="table" w:customStyle="1" w:styleId="10">
    <w:name w:val="TableNormal"/>
    <w:qFormat/>
    <w:uiPriority w:val="0"/>
    <w:tblPr>
      <w:tblCellMar>
        <w:top w:w="0" w:type="dxa"/>
        <w:left w:w="0" w:type="dxa"/>
        <w:bottom w:w="0" w:type="dxa"/>
        <w:right w:w="0" w:type="dxa"/>
      </w:tblCellMar>
    </w:tblPr>
  </w:style>
  <w:style w:type="paragraph" w:customStyle="1" w:styleId="11">
    <w:name w:val="Header"/>
    <w:basedOn w:val="1"/>
    <w:link w:val="12"/>
    <w:qFormat/>
    <w:uiPriority w:val="0"/>
    <w:pPr>
      <w:pBdr>
        <w:bottom w:val="single" w:color="000000" w:sz="6" w:space="1"/>
      </w:pBdr>
      <w:tabs>
        <w:tab w:val="center" w:pos="4153"/>
        <w:tab w:val="right" w:pos="8306"/>
      </w:tabs>
      <w:snapToGrid w:val="0"/>
      <w:jc w:val="center"/>
    </w:pPr>
    <w:rPr>
      <w:sz w:val="18"/>
      <w:szCs w:val="18"/>
    </w:rPr>
  </w:style>
  <w:style w:type="character" w:customStyle="1" w:styleId="12">
    <w:name w:val="UserStyle_0"/>
    <w:link w:val="11"/>
    <w:qFormat/>
    <w:uiPriority w:val="0"/>
    <w:rPr>
      <w:kern w:val="2"/>
      <w:sz w:val="18"/>
      <w:szCs w:val="18"/>
    </w:rPr>
  </w:style>
  <w:style w:type="paragraph" w:customStyle="1" w:styleId="13">
    <w:name w:val="Footer"/>
    <w:basedOn w:val="1"/>
    <w:link w:val="14"/>
    <w:qFormat/>
    <w:uiPriority w:val="0"/>
    <w:pPr>
      <w:tabs>
        <w:tab w:val="center" w:pos="4153"/>
        <w:tab w:val="right" w:pos="8306"/>
      </w:tabs>
      <w:snapToGrid w:val="0"/>
      <w:jc w:val="left"/>
    </w:pPr>
    <w:rPr>
      <w:sz w:val="18"/>
      <w:szCs w:val="18"/>
    </w:rPr>
  </w:style>
  <w:style w:type="character" w:customStyle="1" w:styleId="14">
    <w:name w:val="UserStyle_1"/>
    <w:link w:val="13"/>
    <w:qFormat/>
    <w:uiPriority w:val="0"/>
    <w:rPr>
      <w:kern w:val="2"/>
      <w:sz w:val="18"/>
      <w:szCs w:val="18"/>
    </w:rPr>
  </w:style>
  <w:style w:type="character" w:customStyle="1" w:styleId="15">
    <w:name w:val="UserStyle_2"/>
    <w:qFormat/>
    <w:uiPriority w:val="0"/>
    <w:rPr>
      <w:rFonts w:eastAsia="Calibri"/>
      <w:sz w:val="21"/>
    </w:rPr>
  </w:style>
  <w:style w:type="character" w:customStyle="1" w:styleId="16">
    <w:name w:val="页眉 Char"/>
    <w:basedOn w:val="8"/>
    <w:link w:val="6"/>
    <w:qFormat/>
    <w:uiPriority w:val="99"/>
    <w:rPr>
      <w:rFonts w:eastAsia="仿宋_GB2312"/>
      <w:kern w:val="2"/>
      <w:sz w:val="18"/>
      <w:szCs w:val="18"/>
    </w:rPr>
  </w:style>
  <w:style w:type="character" w:customStyle="1" w:styleId="17">
    <w:name w:val="页脚 Char"/>
    <w:basedOn w:val="8"/>
    <w:link w:val="5"/>
    <w:qFormat/>
    <w:uiPriority w:val="99"/>
    <w:rPr>
      <w:rFonts w:eastAsia="仿宋_GB2312"/>
      <w:kern w:val="2"/>
      <w:sz w:val="18"/>
      <w:szCs w:val="18"/>
    </w:rPr>
  </w:style>
  <w:style w:type="paragraph" w:customStyle="1" w:styleId="18">
    <w:name w:val="_Style 2"/>
    <w:basedOn w:val="1"/>
    <w:qFormat/>
    <w:uiPriority w:val="0"/>
    <w:pPr>
      <w:widowControl w:val="0"/>
      <w:textAlignment w:val="auto"/>
    </w:pPr>
    <w:rPr>
      <w:rFonts w:ascii="Tahoma" w:hAnsi="Tahoma" w:eastAsia="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400</Words>
  <Characters>2282</Characters>
  <Lines>19</Lines>
  <Paragraphs>5</Paragraphs>
  <TotalTime>5</TotalTime>
  <ScaleCrop>false</ScaleCrop>
  <LinksUpToDate>false</LinksUpToDate>
  <CharactersWithSpaces>2677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2020-07-23T21:09:00Z</dcterms:created>
  <dc:creator>WPS Office</dc:creator>
  <cp:lastModifiedBy>ggsyj</cp:lastModifiedBy>
  <cp:lastPrinted>2023-09-15T09:15:00Z</cp:lastPrinted>
  <dcterms:modified xsi:type="dcterms:W3CDTF">2024-02-19T14:55:02Z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