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</w:t>
      </w: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件</w:t>
      </w:r>
    </w:p>
    <w:p>
      <w:pPr>
        <w:jc w:val="center"/>
        <w:outlineLvl w:val="0"/>
        <w:rPr>
          <w:rFonts w:eastAsia="方正小标宋简体"/>
          <w:color w:val="000000"/>
          <w:sz w:val="36"/>
          <w:szCs w:val="36"/>
        </w:rPr>
      </w:pPr>
      <w:bookmarkStart w:id="0" w:name="_Toc1798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商贸领域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节能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技术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产品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）推荐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67"/>
        <w:gridCol w:w="425"/>
        <w:gridCol w:w="1418"/>
        <w:gridCol w:w="2126"/>
        <w:gridCol w:w="1559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报送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单位名称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统一社会信用代码或营业执照号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邮    编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报送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□技术     □设备（产品）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产品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适用范围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商场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超市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餐饮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专业市场</w:t>
            </w:r>
          </w:p>
          <w:p>
            <w:pPr>
              <w:adjustRightInd w:val="0"/>
              <w:snapToGrid w:val="0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物流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技术类目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□供电配电系统     □照明和采光系统 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□空调和通风系统   □供热锅炉系统 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□建筑隔热保温系统 □电梯和动力系统 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□能源管理系统     □冷链配送系统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u w:val="single"/>
                <w:lang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产品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基本原理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关键技术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工艺流程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主要技术指标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技术来源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□引进 □自主开发 □国内合作 □国际合作 □其他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u w:val="single"/>
                <w:lang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产品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鉴定及专利情况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产品</w:t>
            </w: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应用现状及产业化情况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主要用户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推广前景和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减污降碳潜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力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目前推广比例（%）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目前已应用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项目数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节能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  <w:t>(污染治理或环境修复效果/节能与温室气体减排效果)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预计2025年推广比例（%）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预计2025年可形成的市场潜力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  <w:t>(结合技术成熟度、市场容量、技术经济性、环境约束等因素，分析该技术到2025年在产业或领域内推广可挖掘的市场潜力或达到的规模)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已实施的典型案例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项目建设主体规模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主要建设或改造内容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项目实施模式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i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  <w:t>（项目用户直接采购、合同能源管理、能源托管等）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项目应用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节能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技术情况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工艺流程及主要参数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效益分析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节能效益分析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i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项目环境效益分析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  <w:t>(污染治理或环境修复效果;节能能力（tce/年）及碳减排能力（tCO</w:t>
            </w: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  <w:t>/年）)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经济效益分析</w:t>
            </w:r>
          </w:p>
        </w:tc>
        <w:tc>
          <w:tcPr>
            <w:tcW w:w="5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i/>
                <w:color w:val="000000"/>
                <w:sz w:val="28"/>
                <w:szCs w:val="28"/>
              </w:rPr>
              <w:t>项目投资额（万元）、项目建设期、回收期分析等</w:t>
            </w:r>
          </w:p>
        </w:tc>
      </w:tr>
    </w:tbl>
    <w:p>
      <w:bookmarkStart w:id="1" w:name="_GoBack"/>
      <w:bookmarkEnd w:id="1"/>
    </w:p>
    <w:sectPr>
      <w:pgSz w:w="11906" w:h="16838"/>
      <w:pgMar w:top="1814" w:right="1800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7BF0"/>
    <w:rsid w:val="1CC4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2025-07-24T02:53:00Z</dcterms:created>
  <dc:creator>网站运维（陈梓标）</dc:creator>
  <cp:lastModifiedBy>网站运维（陈梓标）</cp:lastModifiedBy>
  <dcterms:modified xsi:type="dcterms:W3CDTF">2025-07-24T02:54:18Z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