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313" w:beforeLines="100" w:beforeAutospacing="0" w:after="313" w:afterLines="100" w:afterAutospacing="0"/>
        <w:ind w:firstLine="0"/>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rPr>
        <w:t>202</w:t>
      </w:r>
      <w:r>
        <w:rPr>
          <w:rFonts w:hint="default" w:ascii="方正小标宋简体" w:hAnsi="方正小标宋简体" w:eastAsia="方正小标宋简体" w:cs="方正小标宋简体"/>
          <w:b w:val="0"/>
          <w:bCs w:val="0"/>
          <w:sz w:val="44"/>
          <w:szCs w:val="44"/>
        </w:rPr>
        <w:t>5</w:t>
      </w:r>
      <w:r>
        <w:rPr>
          <w:rFonts w:hint="eastAsia" w:ascii="方正小标宋简体" w:hAnsi="方正小标宋简体" w:eastAsia="方正小标宋简体" w:cs="方正小标宋简体"/>
          <w:b w:val="0"/>
          <w:bCs w:val="0"/>
          <w:sz w:val="44"/>
          <w:szCs w:val="44"/>
        </w:rPr>
        <w:t>年度知识产权公共服务体系建设资助</w:t>
      </w:r>
      <w:r>
        <w:rPr>
          <w:rFonts w:hint="eastAsia" w:ascii="方正小标宋简体" w:hAnsi="方正小标宋简体" w:eastAsia="方正小标宋简体" w:cs="方正小标宋简体"/>
          <w:b w:val="0"/>
          <w:bCs w:val="0"/>
          <w:sz w:val="44"/>
          <w:szCs w:val="44"/>
          <w:lang w:eastAsia="zh-CN"/>
        </w:rPr>
        <w:t>项目</w:t>
      </w:r>
      <w:r>
        <w:rPr>
          <w:rFonts w:hint="eastAsia" w:ascii="方正小标宋简体" w:hAnsi="方正小标宋简体" w:eastAsia="方正小标宋简体" w:cs="方正小标宋简体"/>
          <w:b w:val="0"/>
          <w:bCs w:val="0"/>
          <w:sz w:val="44"/>
          <w:szCs w:val="44"/>
        </w:rPr>
        <w:t>申报指南</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申报内容</w:t>
      </w:r>
    </w:p>
    <w:p>
      <w:pPr>
        <w:numPr>
          <w:ilvl w:val="0"/>
          <w:numId w:val="0"/>
        </w:numPr>
        <w:adjustRightInd w:val="0"/>
        <w:snapToGrid w:val="0"/>
        <w:spacing w:line="560" w:lineRule="exact"/>
        <w:ind w:firstLine="640"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rPr>
        <w:t>202</w:t>
      </w:r>
      <w:r>
        <w:rPr>
          <w:rFonts w:hint="default" w:ascii="仿宋_GB2312" w:hAnsi="Calibri" w:eastAsia="仿宋_GB2312" w:cs="Times New Roman"/>
          <w:sz w:val="32"/>
          <w:szCs w:val="32"/>
        </w:rPr>
        <w:t>5</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val="en-US" w:eastAsia="zh-CN"/>
        </w:rPr>
        <w:t>度</w:t>
      </w:r>
      <w:r>
        <w:rPr>
          <w:rFonts w:hint="eastAsia" w:ascii="仿宋_GB2312" w:hAnsi="Calibri" w:eastAsia="仿宋_GB2312" w:cs="Times New Roman"/>
          <w:sz w:val="32"/>
          <w:szCs w:val="32"/>
        </w:rPr>
        <w:t>知识产权公共服务体系建设</w:t>
      </w:r>
      <w:r>
        <w:rPr>
          <w:rFonts w:hint="eastAsia" w:ascii="仿宋_GB2312" w:hAnsi="Calibri" w:eastAsia="仿宋_GB2312" w:cs="Times New Roman"/>
          <w:bCs w:val="0"/>
          <w:sz w:val="32"/>
          <w:szCs w:val="32"/>
        </w:rPr>
        <w:t>资助</w:t>
      </w:r>
      <w:r>
        <w:rPr>
          <w:rFonts w:hint="eastAsia" w:ascii="仿宋_GB2312" w:hAnsi="Calibri" w:eastAsia="仿宋_GB2312" w:cs="Times New Roman"/>
          <w:bCs w:val="0"/>
          <w:sz w:val="32"/>
          <w:szCs w:val="32"/>
          <w:lang w:eastAsia="zh-CN"/>
        </w:rPr>
        <w:t>项目</w:t>
      </w:r>
      <w:r>
        <w:rPr>
          <w:rFonts w:hint="eastAsia" w:ascii="仿宋_GB2312" w:hAnsi="Calibri" w:eastAsia="仿宋_GB2312" w:cs="Times New Roman"/>
          <w:sz w:val="32"/>
          <w:szCs w:val="32"/>
          <w:lang w:val="en-US" w:eastAsia="zh-CN"/>
        </w:rPr>
        <w:t>。</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hint="eastAsia" w:ascii="黑体" w:hAnsi="黑体" w:eastAsia="黑体" w:cs="黑体"/>
          <w:b/>
          <w:bCs/>
          <w:sz w:val="32"/>
          <w:szCs w:val="32"/>
        </w:rPr>
      </w:pPr>
      <w:r>
        <w:rPr>
          <w:rFonts w:hint="eastAsia" w:ascii="黑体" w:hAnsi="黑体" w:eastAsia="黑体" w:cs="黑体"/>
          <w:b w:val="0"/>
          <w:bCs w:val="0"/>
          <w:sz w:val="32"/>
          <w:szCs w:val="32"/>
        </w:rPr>
        <w:t>资助</w:t>
      </w:r>
      <w:r>
        <w:rPr>
          <w:rFonts w:hint="eastAsia" w:ascii="黑体" w:hAnsi="黑体" w:eastAsia="黑体" w:cs="黑体"/>
          <w:b w:val="0"/>
          <w:bCs w:val="0"/>
          <w:sz w:val="32"/>
          <w:szCs w:val="32"/>
          <w:lang w:eastAsia="zh-CN"/>
        </w:rPr>
        <w:t>标准</w:t>
      </w:r>
      <w:r>
        <w:rPr>
          <w:rFonts w:hint="eastAsia" w:ascii="黑体" w:hAnsi="黑体" w:eastAsia="黑体" w:cs="黑体"/>
          <w:b/>
          <w:bCs/>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加大对深圳市知识产权公共服务的支持，加强基础研究，提升规范化、信息化、智能化水平，鼓励企事业单位、社会组织或者其他机构研究、开发和提供深圳市知识产权公共服务产品，研究提升知识产权公共服务规范，培养深圳市知识产权公共服务人才，引进和规范使用知识产权数据资源，对正在开展或者已完成的公共服务项目予以资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资助方向如下：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知识产权信息服务、技术支撑、基础研究、社会调查、管理规范等公共服务体制机制创新研究和建设，包括重点、难点、热点问题的跟踪研究、典型事件的梳理分析、重要数据统计模型的研究制订、重要业务动态与数据的社会调查与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）在深圳市重点园区、高等学校</w:t>
      </w:r>
      <w:r>
        <w:rPr>
          <w:rFonts w:hint="eastAsia" w:ascii="仿宋_GB2312" w:hAnsi="仿宋_GB2312" w:eastAsia="仿宋_GB2312" w:cs="仿宋_GB2312"/>
          <w:b w:val="0"/>
          <w:bCs w:val="0"/>
          <w:sz w:val="32"/>
          <w:szCs w:val="32"/>
          <w:lang w:eastAsia="zh-CN"/>
        </w:rPr>
        <w:t>或</w:t>
      </w:r>
      <w:r>
        <w:rPr>
          <w:rFonts w:hint="eastAsia" w:ascii="仿宋_GB2312" w:hAnsi="仿宋_GB2312" w:eastAsia="仿宋_GB2312" w:cs="仿宋_GB2312"/>
          <w:b w:val="0"/>
          <w:bCs w:val="0"/>
          <w:sz w:val="32"/>
          <w:szCs w:val="32"/>
        </w:rPr>
        <w:t>科研院所建立建设</w:t>
      </w:r>
      <w:r>
        <w:rPr>
          <w:rFonts w:hint="eastAsia" w:ascii="仿宋_GB2312" w:hAnsi="仿宋_GB2312" w:eastAsia="仿宋_GB2312" w:cs="仿宋_GB2312"/>
          <w:b w:val="0"/>
          <w:bCs w:val="0"/>
          <w:sz w:val="32"/>
          <w:szCs w:val="32"/>
          <w:lang w:eastAsia="zh-CN"/>
        </w:rPr>
        <w:t>或</w:t>
      </w:r>
      <w:r>
        <w:rPr>
          <w:rFonts w:hint="eastAsia" w:ascii="仿宋_GB2312" w:hAnsi="仿宋_GB2312" w:eastAsia="仿宋_GB2312" w:cs="仿宋_GB2312"/>
          <w:b w:val="0"/>
          <w:bCs w:val="0"/>
          <w:sz w:val="32"/>
          <w:szCs w:val="32"/>
        </w:rPr>
        <w:t>运行维护知识产权信息公共服务网点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技术与创新支持中心</w:t>
      </w:r>
      <w:r>
        <w:rPr>
          <w:rFonts w:hint="eastAsia" w:ascii="仿宋_GB2312" w:hAnsi="仿宋_GB2312" w:eastAsia="仿宋_GB2312" w:cs="仿宋_GB2312"/>
          <w:b w:val="0"/>
          <w:bCs w:val="0"/>
          <w:sz w:val="32"/>
          <w:szCs w:val="32"/>
          <w:lang w:eastAsia="zh-CN"/>
        </w:rPr>
        <w:t>或</w:t>
      </w:r>
      <w:r>
        <w:rPr>
          <w:rFonts w:hint="eastAsia" w:ascii="仿宋_GB2312" w:hAnsi="仿宋_GB2312" w:eastAsia="仿宋_GB2312" w:cs="仿宋_GB2312"/>
          <w:b w:val="0"/>
          <w:bCs w:val="0"/>
          <w:sz w:val="32"/>
          <w:szCs w:val="32"/>
        </w:rPr>
        <w:t>高校国家知识产权信息服务中心，推动知识产权信息向深圳创新主体和转化运用主体传播利用；</w:t>
      </w:r>
    </w:p>
    <w:p>
      <w:pPr>
        <w:numPr>
          <w:ilvl w:val="0"/>
          <w:numId w:val="0"/>
        </w:numPr>
        <w:adjustRightInd w:val="0"/>
        <w:snapToGrid w:val="0"/>
        <w:spacing w:line="560" w:lineRule="exact"/>
        <w:ind w:firstLine="640" w:firstLineChars="200"/>
        <w:rPr>
          <w:rFonts w:hint="eastAsia" w:ascii="仿宋_GB2312" w:hAnsi="Calibri" w:eastAsia="仿宋_GB2312" w:cs="Times New Roman"/>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）为深圳市的产业、企业、高校院所、政府、社会公众免费提供业务咨询、查询检索、动态监测、研究分析、决策支撑等信息服务或者数据服务。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Calibri" w:eastAsia="仿宋_GB2312" w:cs="Times New Roman"/>
          <w:sz w:val="32"/>
          <w:szCs w:val="32"/>
        </w:rPr>
        <w:t>资助标准</w:t>
      </w:r>
      <w:r>
        <w:rPr>
          <w:rFonts w:hint="eastAsia" w:ascii="仿宋_GB2312" w:hAnsi="Calibri" w:eastAsia="仿宋_GB2312" w:cs="Times New Roman"/>
          <w:sz w:val="32"/>
          <w:szCs w:val="32"/>
          <w:lang w:eastAsia="zh-CN"/>
        </w:rPr>
        <w:t>为</w:t>
      </w:r>
      <w:r>
        <w:rPr>
          <w:rFonts w:hint="eastAsia" w:ascii="仿宋_GB2312" w:hAnsi="Calibri" w:eastAsia="仿宋_GB2312" w:cs="Times New Roman"/>
          <w:sz w:val="32"/>
          <w:szCs w:val="32"/>
        </w:rPr>
        <w:t>：</w:t>
      </w:r>
      <w:r>
        <w:rPr>
          <w:rFonts w:hint="eastAsia" w:ascii="仿宋_GB2312" w:hAnsi="仿宋_GB2312" w:eastAsia="仿宋_GB2312" w:cs="仿宋_GB2312"/>
          <w:b w:val="0"/>
          <w:bCs w:val="0"/>
          <w:sz w:val="32"/>
          <w:szCs w:val="32"/>
        </w:rPr>
        <w:t>属于前款规定的第一项资助方向的，每项按照实际支出成本资助不超过50万元；属于前款规定的第</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项、第</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项资助方向的，每项按照实际支出成本资助不超过100万元。本项目每年资助总额不超过700万元。</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应同时</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下列条件</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（一）申请人属于依法登记注册的企事业单位、社会组织或者其他机构，具有从事知识产权公共服务的专业人才和团队；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（二）在深圳市从事生产经营活动，且在深圳市拥有稳定办公场所；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（三）项目已完成的，完成时间应在上年度1月1日之后；项目在实施中的，需具备从事知识产权公共服务的专业人员团队、相关工作能力及活动开展的其他必要条件；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（四）对于本条第二款第一项所述资助方向，申请人同意将项目成果不涉及商业秘密的部分</w:t>
      </w:r>
      <w:r>
        <w:rPr>
          <w:rFonts w:hint="eastAsia" w:ascii="仿宋_GB2312" w:hAnsi="仿宋_GB2312" w:eastAsia="仿宋_GB2312" w:cs="仿宋_GB2312"/>
          <w:b w:val="0"/>
          <w:bCs w:val="0"/>
          <w:sz w:val="32"/>
          <w:szCs w:val="32"/>
          <w:lang w:eastAsia="zh-CN"/>
        </w:rPr>
        <w:t>由政府部门</w:t>
      </w:r>
      <w:r>
        <w:rPr>
          <w:rFonts w:hint="eastAsia" w:ascii="仿宋_GB2312" w:hAnsi="仿宋_GB2312" w:eastAsia="仿宋_GB2312" w:cs="仿宋_GB2312"/>
          <w:b w:val="0"/>
          <w:bCs w:val="0"/>
          <w:sz w:val="32"/>
          <w:szCs w:val="32"/>
        </w:rPr>
        <w:t>向社会公开及供他人无偿使用；</w:t>
      </w:r>
    </w:p>
    <w:p>
      <w:pPr>
        <w:adjustRightInd w:val="0"/>
        <w:snapToGrid w:val="0"/>
        <w:spacing w:line="600" w:lineRule="exact"/>
        <w:ind w:firstLine="640" w:firstLineChars="200"/>
        <w:rPr>
          <w:rFonts w:hint="eastAsia" w:ascii="仿宋_GB2312" w:hAnsi="Times New Roman" w:eastAsia="仿宋_GB2312" w:cs="Times New Roman"/>
          <w:sz w:val="32"/>
          <w:szCs w:val="32"/>
          <w:highlight w:val="none"/>
        </w:rPr>
      </w:pPr>
      <w:r>
        <w:rPr>
          <w:rFonts w:hint="eastAsia" w:ascii="仿宋_GB2312" w:hAnsi="仿宋_GB2312" w:eastAsia="仿宋_GB2312" w:cs="仿宋_GB2312"/>
          <w:b w:val="0"/>
          <w:bCs w:val="0"/>
          <w:sz w:val="32"/>
          <w:szCs w:val="32"/>
        </w:rPr>
        <w:t>（五）对于本条第二款第</w:t>
      </w: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项、第</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项所述资助方向，申请人已获得必要的知识产权数据资源，具备相应的公共服务能力，项目成效明显。</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不予资助的情形</w:t>
      </w:r>
    </w:p>
    <w:p>
      <w:pPr>
        <w:adjustRightInd w:val="0"/>
        <w:snapToGrid w:val="0"/>
        <w:spacing w:line="600" w:lineRule="exact"/>
        <w:ind w:firstLine="640" w:firstLineChars="200"/>
        <w:rPr>
          <w:rFonts w:hint="eastAsia" w:ascii="仿宋_GB2312" w:hAnsi="Times New Roman" w:eastAsia="仿宋_GB2312" w:cs="Times New Roman"/>
          <w:b w:val="0"/>
          <w:bCs w:val="0"/>
          <w:sz w:val="32"/>
          <w:szCs w:val="32"/>
          <w:highlight w:val="none"/>
        </w:rPr>
      </w:pPr>
      <w:r>
        <w:rPr>
          <w:rFonts w:hint="eastAsia" w:ascii="仿宋_GB2312" w:hAnsi="Times New Roman" w:eastAsia="仿宋_GB2312" w:cs="Times New Roman"/>
          <w:b w:val="0"/>
          <w:bCs w:val="0"/>
          <w:sz w:val="32"/>
          <w:szCs w:val="32"/>
          <w:highlight w:val="none"/>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numPr>
          <w:ilvl w:val="0"/>
          <w:numId w:val="0"/>
        </w:numPr>
        <w:adjustRightInd w:val="0"/>
        <w:snapToGrid w:val="0"/>
        <w:spacing w:line="60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（二）经查询深圳市信用网，依法依规被纳入严重失信主体名单的；</w:t>
      </w:r>
    </w:p>
    <w:p>
      <w:pPr>
        <w:numPr>
          <w:ilvl w:val="0"/>
          <w:numId w:val="0"/>
        </w:numPr>
        <w:adjustRightInd w:val="0"/>
        <w:snapToGrid w:val="0"/>
        <w:spacing w:line="600" w:lineRule="exact"/>
        <w:ind w:firstLine="640" w:firstLineChars="2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三</w:t>
      </w:r>
      <w:r>
        <w:rPr>
          <w:rFonts w:hint="eastAsia" w:ascii="仿宋_GB2312" w:hAnsi="Times New Roman" w:eastAsia="仿宋_GB2312" w:cs="Times New Roman"/>
          <w:sz w:val="32"/>
          <w:szCs w:val="32"/>
          <w:highlight w:val="none"/>
        </w:rPr>
        <w:t>）所申请项目已经获得市级同类资助或者奖励的；</w:t>
      </w:r>
    </w:p>
    <w:p>
      <w:pPr>
        <w:numPr>
          <w:ilvl w:val="0"/>
          <w:numId w:val="0"/>
        </w:numPr>
        <w:adjustRightInd w:val="0"/>
        <w:snapToGrid w:val="0"/>
        <w:spacing w:line="600" w:lineRule="exact"/>
        <w:ind w:firstLine="640" w:firstLineChars="2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四</w:t>
      </w:r>
      <w:r>
        <w:rPr>
          <w:rFonts w:hint="eastAsia" w:ascii="仿宋_GB2312" w:hAnsi="Times New Roman" w:eastAsia="仿宋_GB2312" w:cs="Times New Roman"/>
          <w:sz w:val="32"/>
          <w:szCs w:val="32"/>
          <w:highlight w:val="none"/>
        </w:rPr>
        <w:t>）申请人主体已经消亡，或者进入破产清算程序的。</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申请材料</w:t>
      </w:r>
    </w:p>
    <w:p>
      <w:pPr>
        <w:numPr>
          <w:ilvl w:val="0"/>
          <w:numId w:val="2"/>
        </w:numPr>
        <w:snapToGrid w:val="0"/>
        <w:spacing w:line="560" w:lineRule="exact"/>
        <w:ind w:left="0" w:firstLine="642"/>
        <w:jc w:val="left"/>
        <w:rPr>
          <w:rFonts w:hint="eastAsia" w:ascii="楷体_GB2312" w:hAnsi="Calibri" w:eastAsia="楷体_GB2312" w:cs="Times New Roman"/>
          <w:b/>
          <w:bCs w:val="0"/>
          <w:sz w:val="32"/>
          <w:szCs w:val="32"/>
        </w:rPr>
      </w:pPr>
      <w:r>
        <w:rPr>
          <w:rFonts w:hint="eastAsia" w:ascii="楷体_GB2312" w:hAnsi="Calibri" w:eastAsia="楷体_GB2312" w:cs="Times New Roman"/>
          <w:b/>
          <w:bCs w:val="0"/>
          <w:sz w:val="32"/>
          <w:szCs w:val="32"/>
        </w:rPr>
        <w:t>申请表</w:t>
      </w:r>
    </w:p>
    <w:p>
      <w:pPr>
        <w:adjustRightInd w:val="0"/>
        <w:snapToGrid w:val="0"/>
        <w:spacing w:line="600" w:lineRule="exact"/>
        <w:ind w:firstLine="640" w:firstLineChars="2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在申报系统上在线填写项目申报信息。</w:t>
      </w:r>
    </w:p>
    <w:p>
      <w:pPr>
        <w:pStyle w:val="6"/>
        <w:numPr>
          <w:ilvl w:val="0"/>
          <w:numId w:val="2"/>
        </w:numPr>
        <w:snapToGrid w:val="0"/>
        <w:spacing w:line="560" w:lineRule="exact"/>
        <w:ind w:left="0" w:firstLine="643"/>
        <w:jc w:val="left"/>
        <w:rPr>
          <w:rFonts w:hint="eastAsia" w:ascii="楷体_GB2312" w:hAnsi="Calibri" w:eastAsia="楷体_GB2312" w:cs="Times New Roman"/>
          <w:b/>
          <w:bCs w:val="0"/>
          <w:sz w:val="32"/>
          <w:szCs w:val="32"/>
          <w:lang w:eastAsia="zh-CN"/>
        </w:rPr>
      </w:pPr>
      <w:r>
        <w:rPr>
          <w:rFonts w:hint="eastAsia" w:ascii="CESI楷体-GB13000" w:hAnsi="CESI楷体-GB13000" w:eastAsia="CESI楷体-GB13000" w:cs="CESI楷体-GB13000"/>
          <w:b/>
          <w:bCs/>
          <w:kern w:val="2"/>
          <w:sz w:val="32"/>
          <w:szCs w:val="32"/>
          <w:lang w:val="en-US" w:eastAsia="zh-CN" w:bidi="ar-SA"/>
        </w:rPr>
        <w:t>项目成果</w:t>
      </w:r>
      <w:r>
        <w:rPr>
          <w:rFonts w:hint="eastAsia" w:ascii="CESI楷体-GB13000" w:hAnsi="CESI楷体-GB13000" w:eastAsia="CESI楷体-GB13000" w:cs="CESI楷体-GB13000"/>
          <w:b/>
          <w:bCs/>
          <w:kern w:val="2"/>
          <w:sz w:val="32"/>
          <w:szCs w:val="32"/>
          <w:lang w:val="en" w:eastAsia="zh-CN" w:bidi="ar-SA"/>
        </w:rPr>
        <w:t>或项目实施</w:t>
      </w:r>
      <w:r>
        <w:rPr>
          <w:rFonts w:hint="eastAsia" w:ascii="CESI楷体-GB13000" w:hAnsi="CESI楷体-GB13000" w:eastAsia="CESI楷体-GB13000" w:cs="CESI楷体-GB13000"/>
          <w:b/>
          <w:bCs/>
          <w:kern w:val="2"/>
          <w:sz w:val="32"/>
          <w:szCs w:val="32"/>
          <w:lang w:val="en-US" w:eastAsia="zh-CN" w:bidi="ar-SA"/>
        </w:rPr>
        <w:t>的相关材料</w:t>
      </w:r>
    </w:p>
    <w:p>
      <w:pPr>
        <w:numPr>
          <w:ilvl w:val="0"/>
          <w:numId w:val="0"/>
        </w:numPr>
        <w:adjustRightInd w:val="0"/>
        <w:snapToGrid w:val="0"/>
        <w:spacing w:line="600" w:lineRule="exact"/>
        <w:ind w:firstLine="640" w:firstLineChars="200"/>
        <w:jc w:val="left"/>
        <w:rPr>
          <w:rFonts w:hint="default" w:ascii="仿宋_GB2312" w:hAnsi="仿宋_GB2312" w:eastAsia="仿宋_GB2312" w:cs="仿宋_GB2312"/>
          <w:b w:val="0"/>
          <w:bCs w:val="0"/>
          <w:kern w:val="2"/>
          <w:sz w:val="32"/>
          <w:szCs w:val="32"/>
          <w:lang w:val="en" w:eastAsia="zh-CN" w:bidi="ar-SA"/>
        </w:rPr>
      </w:pPr>
      <w:r>
        <w:rPr>
          <w:rFonts w:hint="eastAsia" w:ascii="仿宋_GB2312" w:hAnsi="Times New Roman" w:eastAsia="仿宋_GB2312" w:cs="Times New Roman"/>
          <w:sz w:val="32"/>
          <w:szCs w:val="32"/>
          <w:highlight w:val="none"/>
          <w:lang w:val="en-US" w:eastAsia="zh-CN"/>
        </w:rPr>
        <w:t>1.</w:t>
      </w:r>
      <w:r>
        <w:rPr>
          <w:rFonts w:hint="eastAsia" w:ascii="仿宋_GB2312" w:hAnsi="仿宋_GB2312" w:eastAsia="仿宋_GB2312" w:cs="仿宋_GB2312"/>
          <w:b w:val="0"/>
          <w:bCs w:val="0"/>
          <w:kern w:val="2"/>
          <w:sz w:val="32"/>
          <w:szCs w:val="32"/>
          <w:lang w:val="en-US" w:eastAsia="zh-CN" w:bidi="ar-SA"/>
        </w:rPr>
        <w:t>项目已完成的，需提交</w:t>
      </w:r>
      <w:r>
        <w:rPr>
          <w:rFonts w:hint="default" w:ascii="仿宋_GB2312" w:hAnsi="仿宋_GB2312" w:eastAsia="仿宋_GB2312" w:cs="仿宋_GB2312"/>
          <w:b w:val="0"/>
          <w:bCs w:val="0"/>
          <w:kern w:val="2"/>
          <w:sz w:val="32"/>
          <w:szCs w:val="32"/>
          <w:lang w:val="en" w:eastAsia="zh-CN" w:bidi="ar-SA"/>
        </w:rPr>
        <w:t>以下材料：</w:t>
      </w:r>
    </w:p>
    <w:p>
      <w:pPr>
        <w:numPr>
          <w:ilvl w:val="0"/>
          <w:numId w:val="0"/>
        </w:numPr>
        <w:adjustRightInd w:val="0"/>
        <w:snapToGrid w:val="0"/>
        <w:spacing w:line="600" w:lineRule="exact"/>
        <w:ind w:firstLine="640" w:firstLineChars="200"/>
        <w:jc w:val="left"/>
        <w:rPr>
          <w:rFonts w:hint="default" w:ascii="仿宋_GB2312" w:hAnsi="Times New Roman" w:eastAsia="仿宋_GB2312" w:cs="Times New Roman"/>
          <w:sz w:val="32"/>
          <w:szCs w:val="32"/>
          <w:highlight w:val="none"/>
          <w:lang w:eastAsia="zh-CN"/>
        </w:rPr>
      </w:pPr>
      <w:r>
        <w:rPr>
          <w:rFonts w:hint="default" w:ascii="仿宋_GB2312" w:eastAsia="仿宋_GB2312" w:cs="Times New Roman"/>
          <w:sz w:val="32"/>
          <w:szCs w:val="32"/>
          <w:highlight w:val="none"/>
        </w:rPr>
        <w:t>（1）</w:t>
      </w:r>
      <w:r>
        <w:rPr>
          <w:rFonts w:hint="eastAsia" w:ascii="仿宋_GB2312" w:hAnsi="Times New Roman" w:eastAsia="仿宋_GB2312" w:cs="Times New Roman"/>
          <w:sz w:val="32"/>
          <w:szCs w:val="32"/>
          <w:highlight w:val="none"/>
        </w:rPr>
        <w:t>项目成果</w:t>
      </w:r>
      <w:r>
        <w:rPr>
          <w:rFonts w:hint="eastAsia" w:ascii="仿宋_GB2312" w:eastAsia="仿宋_GB2312" w:cs="Times New Roman"/>
          <w:sz w:val="32"/>
          <w:szCs w:val="32"/>
          <w:highlight w:val="none"/>
          <w:lang w:eastAsia="zh-CN"/>
        </w:rPr>
        <w:t>，</w:t>
      </w:r>
      <w:r>
        <w:rPr>
          <w:rFonts w:hint="default" w:ascii="仿宋_GB2312" w:eastAsia="仿宋_GB2312" w:cs="Times New Roman"/>
          <w:sz w:val="32"/>
          <w:szCs w:val="32"/>
          <w:highlight w:val="none"/>
        </w:rPr>
        <w:t>形式包括但不限于：研究报告、调查报告、数据统计模型、数据服务平台链接等。</w:t>
      </w:r>
    </w:p>
    <w:p>
      <w:pPr>
        <w:numPr>
          <w:ilvl w:val="0"/>
          <w:numId w:val="0"/>
        </w:numPr>
        <w:adjustRightInd w:val="0"/>
        <w:snapToGrid w:val="0"/>
        <w:spacing w:line="600" w:lineRule="exact"/>
        <w:ind w:firstLine="640" w:firstLineChars="200"/>
        <w:jc w:val="left"/>
        <w:rPr>
          <w:rFonts w:hint="default" w:ascii="仿宋_GB2312" w:eastAsia="仿宋_GB2312" w:cs="Times New Roman"/>
          <w:sz w:val="32"/>
          <w:szCs w:val="32"/>
          <w:highlight w:val="none"/>
          <w:lang w:eastAsia="zh-CN"/>
        </w:rPr>
      </w:pPr>
      <w:r>
        <w:rPr>
          <w:rFonts w:hint="default" w:ascii="仿宋_GB2312" w:eastAsia="仿宋_GB2312" w:cs="Times New Roman"/>
          <w:sz w:val="32"/>
          <w:szCs w:val="32"/>
          <w:highlight w:val="none"/>
        </w:rPr>
        <w:t>（2）</w:t>
      </w:r>
      <w:r>
        <w:rPr>
          <w:rFonts w:hint="eastAsia" w:ascii="仿宋_GB2312" w:hAnsi="Times New Roman" w:eastAsia="仿宋_GB2312" w:cs="Times New Roman"/>
          <w:sz w:val="32"/>
          <w:szCs w:val="32"/>
          <w:highlight w:val="none"/>
        </w:rPr>
        <w:t>总结报告</w:t>
      </w:r>
      <w:r>
        <w:rPr>
          <w:rFonts w:hint="default" w:ascii="仿宋_GB2312" w:eastAsia="仿宋_GB2312" w:cs="Times New Roman"/>
          <w:sz w:val="32"/>
          <w:szCs w:val="32"/>
          <w:highlight w:val="none"/>
        </w:rPr>
        <w:t>，</w:t>
      </w:r>
      <w:r>
        <w:rPr>
          <w:rFonts w:hint="eastAsia" w:ascii="仿宋_GB2312" w:hAnsi="Times New Roman" w:eastAsia="仿宋_GB2312" w:cs="Times New Roman"/>
          <w:sz w:val="32"/>
          <w:szCs w:val="32"/>
          <w:highlight w:val="none"/>
        </w:rPr>
        <w:t>内容包括但不限于：</w:t>
      </w:r>
      <w:r>
        <w:rPr>
          <w:rFonts w:hint="default" w:ascii="仿宋_GB2312" w:eastAsia="仿宋_GB2312" w:cs="Times New Roman"/>
          <w:sz w:val="32"/>
          <w:szCs w:val="32"/>
          <w:highlight w:val="none"/>
        </w:rPr>
        <w:t>项目开展情况、完成时间、</w:t>
      </w:r>
      <w:r>
        <w:rPr>
          <w:rFonts w:hint="eastAsia" w:ascii="仿宋_GB2312" w:hAnsi="Times New Roman" w:eastAsia="仿宋_GB2312" w:cs="Times New Roman"/>
          <w:sz w:val="32"/>
          <w:szCs w:val="32"/>
          <w:highlight w:val="none"/>
          <w:lang w:eastAsia="zh-CN"/>
        </w:rPr>
        <w:t>团队情况、</w:t>
      </w:r>
      <w:r>
        <w:rPr>
          <w:rFonts w:hint="default" w:ascii="仿宋_GB2312" w:eastAsia="仿宋_GB2312" w:cs="Times New Roman"/>
          <w:sz w:val="32"/>
          <w:szCs w:val="32"/>
          <w:highlight w:val="none"/>
          <w:lang w:eastAsia="zh-CN"/>
        </w:rPr>
        <w:t>项目成果应用</w:t>
      </w:r>
      <w:r>
        <w:rPr>
          <w:rFonts w:hint="eastAsia" w:ascii="仿宋_GB2312" w:hAnsi="Times New Roman" w:eastAsia="仿宋_GB2312" w:cs="Times New Roman"/>
          <w:sz w:val="32"/>
          <w:szCs w:val="32"/>
          <w:highlight w:val="none"/>
          <w:lang w:eastAsia="zh-CN"/>
        </w:rPr>
        <w:t>情况</w:t>
      </w:r>
      <w:r>
        <w:rPr>
          <w:rFonts w:hint="default" w:ascii="仿宋_GB2312" w:eastAsia="仿宋_GB2312" w:cs="Times New Roman"/>
          <w:sz w:val="32"/>
          <w:szCs w:val="32"/>
          <w:highlight w:val="none"/>
          <w:lang w:eastAsia="zh-CN"/>
        </w:rPr>
        <w:t>、为深圳主体提供服务情况</w:t>
      </w:r>
      <w:r>
        <w:rPr>
          <w:rFonts w:hint="eastAsia" w:ascii="仿宋_GB2312" w:hAnsi="Times New Roman" w:eastAsia="仿宋_GB2312" w:cs="Times New Roman"/>
          <w:sz w:val="32"/>
          <w:szCs w:val="32"/>
          <w:highlight w:val="none"/>
          <w:lang w:eastAsia="zh-CN"/>
        </w:rPr>
        <w:t>及</w:t>
      </w:r>
      <w:r>
        <w:rPr>
          <w:rFonts w:hint="eastAsia" w:ascii="仿宋_GB2312" w:eastAsia="仿宋_GB2312" w:cs="Times New Roman"/>
          <w:sz w:val="32"/>
          <w:szCs w:val="32"/>
          <w:highlight w:val="none"/>
          <w:lang w:eastAsia="zh-CN"/>
        </w:rPr>
        <w:t>佐证</w:t>
      </w:r>
      <w:r>
        <w:rPr>
          <w:rFonts w:hint="eastAsia" w:ascii="仿宋_GB2312" w:hAnsi="Times New Roman" w:eastAsia="仿宋_GB2312" w:cs="Times New Roman"/>
          <w:sz w:val="32"/>
          <w:szCs w:val="32"/>
          <w:highlight w:val="none"/>
          <w:lang w:eastAsia="zh-CN"/>
        </w:rPr>
        <w:t>材料、已获得的成就、产生的经济效益、环境效益和社会效益</w:t>
      </w:r>
      <w:r>
        <w:rPr>
          <w:rFonts w:hint="default" w:ascii="仿宋_GB2312" w:eastAsia="仿宋_GB2312" w:cs="Times New Roman"/>
          <w:sz w:val="32"/>
          <w:szCs w:val="32"/>
          <w:highlight w:val="none"/>
          <w:lang w:eastAsia="zh-CN"/>
        </w:rPr>
        <w:t>等。</w:t>
      </w:r>
    </w:p>
    <w:p>
      <w:pPr>
        <w:numPr>
          <w:ilvl w:val="0"/>
          <w:numId w:val="0"/>
        </w:numPr>
        <w:adjustRightInd w:val="0"/>
        <w:snapToGrid w:val="0"/>
        <w:spacing w:line="600" w:lineRule="exact"/>
        <w:ind w:firstLine="640" w:firstLineChars="200"/>
        <w:jc w:val="left"/>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项目在实施中的，需提交以下材料：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已开展部分的工作情况（如有）、未完成部分的</w:t>
      </w:r>
      <w:r>
        <w:rPr>
          <w:rFonts w:hint="eastAsia" w:ascii="仿宋_GB2312" w:hAnsi="仿宋_GB2312" w:eastAsia="仿宋_GB2312" w:cs="仿宋_GB2312"/>
          <w:b w:val="0"/>
          <w:bCs w:val="0"/>
          <w:sz w:val="32"/>
          <w:szCs w:val="32"/>
          <w:lang w:eastAsia="zh-CN"/>
        </w:rPr>
        <w:t>实施方案</w:t>
      </w:r>
      <w:r>
        <w:rPr>
          <w:rFonts w:hint="eastAsia" w:ascii="仿宋_GB2312" w:eastAsia="仿宋_GB2312" w:cs="Times New Roman"/>
          <w:sz w:val="32"/>
          <w:szCs w:val="32"/>
          <w:highlight w:val="none"/>
          <w:lang w:val="en-US" w:eastAsia="zh-CN"/>
        </w:rPr>
        <w:t>以及具备从事</w:t>
      </w:r>
      <w:r>
        <w:rPr>
          <w:rFonts w:hint="eastAsia" w:ascii="仿宋_GB2312" w:hAnsi="仿宋_GB2312" w:eastAsia="仿宋_GB2312" w:cs="仿宋_GB2312"/>
          <w:b w:val="0"/>
          <w:bCs w:val="0"/>
          <w:sz w:val="32"/>
          <w:szCs w:val="32"/>
        </w:rPr>
        <w:t>知识产权公共服务的专业人员团队、相关工作能力及活动开展的其他必要条件的相关材料</w:t>
      </w:r>
      <w:r>
        <w:rPr>
          <w:rFonts w:hint="eastAsia" w:ascii="仿宋_GB2312" w:eastAsia="仿宋_GB2312" w:cs="Times New Roman"/>
          <w:sz w:val="32"/>
          <w:szCs w:val="32"/>
          <w:highlight w:val="none"/>
          <w:lang w:val="en-US" w:eastAsia="zh-CN"/>
        </w:rPr>
        <w:t>。实施方案内容包括但不限于：项目背景、项目内容、人员团队、项目进度、阶段性成效、预期绩效、预算方案等相关材料。</w:t>
      </w:r>
    </w:p>
    <w:p>
      <w:pPr>
        <w:numPr>
          <w:ilvl w:val="0"/>
          <w:numId w:val="0"/>
        </w:numPr>
        <w:adjustRightInd w:val="0"/>
        <w:snapToGrid w:val="0"/>
        <w:spacing w:line="600" w:lineRule="exact"/>
        <w:ind w:firstLine="640" w:firstLineChars="200"/>
        <w:jc w:val="both"/>
        <w:rPr>
          <w:rFonts w:hint="default" w:ascii="仿宋_GB2312" w:eastAsia="仿宋_GB2312" w:cs="Times New Roman"/>
          <w:sz w:val="32"/>
          <w:szCs w:val="32"/>
          <w:highlight w:val="none"/>
          <w:lang w:eastAsia="zh-CN"/>
        </w:rPr>
      </w:pPr>
      <w:r>
        <w:rPr>
          <w:rFonts w:hint="eastAsia" w:ascii="仿宋_GB2312" w:eastAsia="仿宋_GB2312" w:cs="Times New Roman"/>
          <w:sz w:val="32"/>
          <w:szCs w:val="32"/>
          <w:highlight w:val="none"/>
          <w:lang w:val="en-US" w:eastAsia="zh-CN"/>
        </w:rPr>
        <w:t>2</w:t>
      </w:r>
      <w:r>
        <w:rPr>
          <w:rFonts w:hint="default" w:ascii="仿宋_GB2312" w:eastAsia="仿宋_GB2312" w:cs="Times New Roman"/>
          <w:sz w:val="32"/>
          <w:szCs w:val="32"/>
          <w:highlight w:val="none"/>
          <w:lang w:eastAsia="zh-CN"/>
        </w:rPr>
        <w:t>.申报第一项所述资助方向的，需提交将项目成果不涉及商业秘密的部分</w:t>
      </w:r>
      <w:r>
        <w:rPr>
          <w:rFonts w:hint="eastAsia" w:ascii="仿宋_GB2312" w:hAnsi="仿宋_GB2312" w:eastAsia="仿宋_GB2312" w:cs="仿宋_GB2312"/>
          <w:b w:val="0"/>
          <w:bCs w:val="0"/>
          <w:sz w:val="32"/>
          <w:szCs w:val="32"/>
          <w:lang w:eastAsia="zh-CN"/>
        </w:rPr>
        <w:t>由政府部门</w:t>
      </w:r>
      <w:r>
        <w:rPr>
          <w:rFonts w:hint="default" w:ascii="仿宋_GB2312" w:eastAsia="仿宋_GB2312" w:cs="Times New Roman"/>
          <w:sz w:val="32"/>
          <w:szCs w:val="32"/>
          <w:highlight w:val="none"/>
          <w:lang w:eastAsia="zh-CN"/>
        </w:rPr>
        <w:t>向社会公开及供他人无偿使用的承诺函，已对外公开发布的需提供</w:t>
      </w:r>
      <w:r>
        <w:rPr>
          <w:rFonts w:hint="eastAsia" w:ascii="仿宋_GB2312" w:eastAsia="仿宋_GB2312" w:cs="Times New Roman"/>
          <w:sz w:val="32"/>
          <w:szCs w:val="32"/>
          <w:highlight w:val="none"/>
          <w:lang w:eastAsia="zh-CN"/>
        </w:rPr>
        <w:t>佐证</w:t>
      </w:r>
      <w:r>
        <w:rPr>
          <w:rFonts w:hint="default" w:ascii="仿宋_GB2312" w:eastAsia="仿宋_GB2312" w:cs="Times New Roman"/>
          <w:sz w:val="32"/>
          <w:szCs w:val="32"/>
          <w:highlight w:val="none"/>
          <w:lang w:eastAsia="zh-CN"/>
        </w:rPr>
        <w:t>材料，未对外公开发布的需提供发布计划（内容包含：发布渠道、发布形式、受众、预期效果等）。</w:t>
      </w:r>
    </w:p>
    <w:p>
      <w:pPr>
        <w:numPr>
          <w:ilvl w:val="0"/>
          <w:numId w:val="0"/>
        </w:numPr>
        <w:adjustRightInd w:val="0"/>
        <w:snapToGrid w:val="0"/>
        <w:spacing w:line="600" w:lineRule="exact"/>
        <w:ind w:firstLine="640" w:firstLineChars="200"/>
        <w:jc w:val="left"/>
        <w:rPr>
          <w:rFonts w:hint="default" w:ascii="仿宋_GB2312" w:hAnsi="Times New Roman" w:eastAsia="仿宋_GB2312" w:cs="Times New Roman"/>
          <w:sz w:val="32"/>
          <w:szCs w:val="32"/>
          <w:highlight w:val="none"/>
          <w:lang w:eastAsia="zh-CN"/>
        </w:rPr>
      </w:pPr>
      <w:r>
        <w:rPr>
          <w:rFonts w:hint="eastAsia" w:ascii="仿宋_GB2312" w:eastAsia="仿宋_GB2312" w:cs="Times New Roman"/>
          <w:sz w:val="32"/>
          <w:szCs w:val="32"/>
          <w:highlight w:val="none"/>
          <w:lang w:val="en-US" w:eastAsia="zh-CN"/>
        </w:rPr>
        <w:t>3</w:t>
      </w:r>
      <w:r>
        <w:rPr>
          <w:rFonts w:hint="default" w:ascii="仿宋_GB2312" w:eastAsia="仿宋_GB2312" w:cs="Times New Roman"/>
          <w:sz w:val="32"/>
          <w:szCs w:val="32"/>
          <w:highlight w:val="none"/>
          <w:lang w:eastAsia="zh-CN"/>
        </w:rPr>
        <w:t>.申报第</w:t>
      </w:r>
      <w:r>
        <w:rPr>
          <w:rFonts w:hint="eastAsia" w:ascii="仿宋_GB2312" w:eastAsia="仿宋_GB2312" w:cs="Times New Roman"/>
          <w:sz w:val="32"/>
          <w:szCs w:val="32"/>
          <w:highlight w:val="none"/>
          <w:lang w:eastAsia="zh-CN"/>
        </w:rPr>
        <w:t>二</w:t>
      </w:r>
      <w:r>
        <w:rPr>
          <w:rFonts w:hint="default" w:ascii="仿宋_GB2312" w:eastAsia="仿宋_GB2312" w:cs="Times New Roman"/>
          <w:sz w:val="32"/>
          <w:szCs w:val="32"/>
          <w:highlight w:val="none"/>
          <w:lang w:eastAsia="zh-CN"/>
        </w:rPr>
        <w:t>项、第</w:t>
      </w:r>
      <w:r>
        <w:rPr>
          <w:rFonts w:hint="eastAsia" w:ascii="仿宋_GB2312" w:eastAsia="仿宋_GB2312" w:cs="Times New Roman"/>
          <w:sz w:val="32"/>
          <w:szCs w:val="32"/>
          <w:highlight w:val="none"/>
          <w:lang w:eastAsia="zh-CN"/>
        </w:rPr>
        <w:t>三</w:t>
      </w:r>
      <w:r>
        <w:rPr>
          <w:rFonts w:hint="default" w:ascii="仿宋_GB2312" w:eastAsia="仿宋_GB2312" w:cs="Times New Roman"/>
          <w:sz w:val="32"/>
          <w:szCs w:val="32"/>
          <w:highlight w:val="none"/>
          <w:lang w:eastAsia="zh-CN"/>
        </w:rPr>
        <w:t>项所述方向的，项目已完成的提交</w:t>
      </w:r>
      <w:r>
        <w:rPr>
          <w:rFonts w:hint="eastAsia" w:ascii="仿宋_GB2312" w:eastAsia="仿宋_GB2312" w:cs="Times New Roman"/>
          <w:sz w:val="32"/>
          <w:szCs w:val="32"/>
          <w:highlight w:val="none"/>
          <w:lang w:eastAsia="zh-CN"/>
        </w:rPr>
        <w:t>已</w:t>
      </w:r>
      <w:r>
        <w:rPr>
          <w:rFonts w:hint="default" w:ascii="仿宋_GB2312" w:eastAsia="仿宋_GB2312" w:cs="Times New Roman"/>
          <w:sz w:val="32"/>
          <w:szCs w:val="32"/>
          <w:highlight w:val="none"/>
          <w:lang w:eastAsia="zh-CN"/>
        </w:rPr>
        <w:t>获得必要的知识产权数据资源</w:t>
      </w:r>
      <w:r>
        <w:rPr>
          <w:rFonts w:hint="eastAsia" w:ascii="仿宋_GB2312" w:eastAsia="仿宋_GB2312" w:cs="Times New Roman"/>
          <w:sz w:val="32"/>
          <w:szCs w:val="32"/>
          <w:highlight w:val="none"/>
          <w:lang w:eastAsia="zh-CN"/>
        </w:rPr>
        <w:t>，</w:t>
      </w:r>
      <w:r>
        <w:rPr>
          <w:rFonts w:hint="eastAsia" w:ascii="仿宋_GB2312" w:hAnsi="仿宋_GB2312" w:eastAsia="仿宋_GB2312" w:cs="仿宋_GB2312"/>
          <w:b w:val="0"/>
          <w:bCs w:val="0"/>
          <w:sz w:val="32"/>
          <w:szCs w:val="32"/>
        </w:rPr>
        <w:t>具备相应的公共服务能力，项目成效明显</w:t>
      </w:r>
      <w:r>
        <w:rPr>
          <w:rFonts w:hint="default" w:ascii="仿宋_GB2312" w:eastAsia="仿宋_GB2312" w:cs="Times New Roman"/>
          <w:sz w:val="32"/>
          <w:szCs w:val="32"/>
          <w:highlight w:val="none"/>
          <w:lang w:eastAsia="zh-CN"/>
        </w:rPr>
        <w:t>的</w:t>
      </w:r>
      <w:r>
        <w:rPr>
          <w:rFonts w:hint="eastAsia" w:ascii="仿宋_GB2312" w:eastAsia="仿宋_GB2312" w:cs="Times New Roman"/>
          <w:sz w:val="32"/>
          <w:szCs w:val="32"/>
          <w:highlight w:val="none"/>
          <w:lang w:eastAsia="zh-CN"/>
        </w:rPr>
        <w:t>佐证</w:t>
      </w:r>
      <w:r>
        <w:rPr>
          <w:rFonts w:hint="default" w:ascii="仿宋_GB2312" w:eastAsia="仿宋_GB2312" w:cs="Times New Roman"/>
          <w:sz w:val="32"/>
          <w:szCs w:val="32"/>
          <w:highlight w:val="none"/>
          <w:lang w:eastAsia="zh-CN"/>
        </w:rPr>
        <w:t>材料</w:t>
      </w:r>
      <w:r>
        <w:rPr>
          <w:rFonts w:hint="eastAsia" w:ascii="仿宋_GB2312" w:hAnsi="Times New Roman" w:eastAsia="仿宋_GB2312" w:cs="Times New Roman"/>
          <w:sz w:val="32"/>
          <w:szCs w:val="32"/>
          <w:highlight w:val="none"/>
          <w:lang w:eastAsia="zh-CN"/>
        </w:rPr>
        <w:t>；</w:t>
      </w:r>
      <w:r>
        <w:rPr>
          <w:rFonts w:hint="default" w:ascii="仿宋_GB2312" w:eastAsia="仿宋_GB2312" w:cs="Times New Roman"/>
          <w:sz w:val="32"/>
          <w:szCs w:val="32"/>
          <w:highlight w:val="none"/>
          <w:lang w:eastAsia="zh-CN"/>
        </w:rPr>
        <w:t>项目未完成的，相关内容应在实施方案中体现。</w:t>
      </w:r>
    </w:p>
    <w:p>
      <w:pPr>
        <w:numPr>
          <w:ilvl w:val="0"/>
          <w:numId w:val="0"/>
        </w:numPr>
        <w:adjustRightInd w:val="0"/>
        <w:snapToGrid w:val="0"/>
        <w:spacing w:line="600" w:lineRule="exact"/>
        <w:ind w:firstLine="640" w:firstLineChars="200"/>
        <w:jc w:val="left"/>
        <w:rPr>
          <w:rFonts w:hint="eastAsia" w:ascii="仿宋_GB2312" w:hAnsi="Times New Roman"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lang w:val="en-US" w:eastAsia="zh-CN"/>
        </w:rPr>
        <w:t>.从事知识产权公共服务的专业人员团队</w:t>
      </w:r>
      <w:r>
        <w:rPr>
          <w:rFonts w:hint="eastAsia" w:ascii="仿宋_GB2312" w:eastAsia="仿宋_GB2312"/>
          <w:sz w:val="32"/>
          <w:szCs w:val="32"/>
        </w:rPr>
        <w:t>能力相关材料</w:t>
      </w:r>
      <w:r>
        <w:rPr>
          <w:rFonts w:hint="eastAsia" w:ascii="仿宋_GB2312" w:hAnsi="Times New Roman" w:eastAsia="仿宋_GB2312" w:cs="Times New Roman"/>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Times New Roman" w:eastAsia="仿宋_GB2312" w:cs="Times New Roman"/>
          <w:sz w:val="32"/>
          <w:szCs w:val="32"/>
          <w:highlight w:val="none"/>
          <w:lang w:eastAsia="zh-CN"/>
        </w:rPr>
      </w:pPr>
      <w:r>
        <w:rPr>
          <w:rFonts w:hint="eastAsia" w:ascii="仿宋_GB2312"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lang w:val="en-US" w:eastAsia="zh-CN"/>
        </w:rPr>
        <w:t>.</w:t>
      </w:r>
      <w:r>
        <w:rPr>
          <w:rFonts w:hint="eastAsia" w:ascii="仿宋_GB2312" w:eastAsia="仿宋_GB2312" w:cs="Times New Roman"/>
          <w:sz w:val="32"/>
          <w:szCs w:val="32"/>
          <w:highlight w:val="none"/>
          <w:lang w:val="en-US" w:eastAsia="zh-CN"/>
        </w:rPr>
        <w:t>项目</w:t>
      </w:r>
      <w:r>
        <w:rPr>
          <w:rFonts w:hint="default" w:ascii="仿宋_GB2312" w:eastAsia="仿宋_GB2312" w:cs="Times New Roman"/>
          <w:sz w:val="32"/>
          <w:szCs w:val="32"/>
          <w:highlight w:val="none"/>
          <w:lang w:eastAsia="zh-CN"/>
        </w:rPr>
        <w:t>未完成的</w:t>
      </w:r>
      <w:r>
        <w:rPr>
          <w:rFonts w:hint="eastAsia" w:ascii="仿宋_GB2312" w:eastAsia="仿宋_GB2312" w:cs="Times New Roman"/>
          <w:sz w:val="32"/>
          <w:szCs w:val="32"/>
          <w:highlight w:val="none"/>
          <w:lang w:val="en-US" w:eastAsia="zh-CN"/>
        </w:rPr>
        <w:t>提交经费测算表</w:t>
      </w:r>
      <w:r>
        <w:rPr>
          <w:rFonts w:hint="eastAsia" w:ascii="仿宋_GB2312" w:hAnsi="Times New Roman" w:eastAsia="仿宋_GB2312" w:cs="Times New Roman"/>
          <w:sz w:val="32"/>
          <w:szCs w:val="32"/>
          <w:highlight w:val="none"/>
          <w:lang w:eastAsia="zh-CN"/>
        </w:rPr>
        <w:t>。</w:t>
      </w:r>
    </w:p>
    <w:p>
      <w:pPr>
        <w:numPr>
          <w:ilvl w:val="0"/>
          <w:numId w:val="2"/>
        </w:numPr>
        <w:snapToGrid w:val="0"/>
        <w:spacing w:line="560" w:lineRule="exact"/>
        <w:ind w:left="0" w:firstLine="642"/>
        <w:jc w:val="left"/>
        <w:rPr>
          <w:rFonts w:hint="eastAsia" w:ascii="仿宋_GB2312" w:hAnsi="Times New Roman" w:eastAsia="仿宋_GB2312" w:cs="Times New Roman"/>
          <w:sz w:val="32"/>
          <w:szCs w:val="32"/>
          <w:highlight w:val="none"/>
          <w:lang w:val="en-US" w:eastAsia="zh-CN"/>
        </w:rPr>
      </w:pPr>
      <w:r>
        <w:rPr>
          <w:rFonts w:hint="default" w:ascii="楷体_GB2312" w:hAnsi="Calibri" w:eastAsia="楷体_GB2312"/>
          <w:b/>
          <w:sz w:val="32"/>
          <w:szCs w:val="32"/>
        </w:rPr>
        <w:t>具备从事知识产权公共服务的专业人员团队、相关工作能力及活动开展的其他必要条件的相关材料</w:t>
      </w:r>
    </w:p>
    <w:p>
      <w:pPr>
        <w:numPr>
          <w:ilvl w:val="0"/>
          <w:numId w:val="0"/>
        </w:numPr>
        <w:adjustRightInd w:val="0"/>
        <w:snapToGrid w:val="0"/>
        <w:spacing w:line="600" w:lineRule="exact"/>
        <w:ind w:left="0" w:firstLine="640" w:firstLineChars="20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1.</w:t>
      </w:r>
      <w:r>
        <w:rPr>
          <w:rFonts w:hint="eastAsia" w:ascii="仿宋_GB2312" w:hAnsi="Times New Roman" w:eastAsia="仿宋_GB2312" w:cs="Times New Roman"/>
          <w:b w:val="0"/>
          <w:bCs w:val="0"/>
          <w:sz w:val="32"/>
          <w:szCs w:val="32"/>
          <w:highlight w:val="none"/>
          <w:lang w:eastAsia="zh-CN"/>
        </w:rPr>
        <w:t>开展</w:t>
      </w:r>
      <w:r>
        <w:rPr>
          <w:rFonts w:hint="eastAsia" w:ascii="仿宋_GB2312" w:hAnsi="Times New Roman" w:eastAsia="仿宋_GB2312" w:cs="Times New Roman"/>
          <w:b w:val="0"/>
          <w:bCs w:val="0"/>
          <w:sz w:val="32"/>
          <w:szCs w:val="32"/>
          <w:highlight w:val="none"/>
          <w:lang w:val="en-US" w:eastAsia="zh-CN"/>
        </w:rPr>
        <w:t>同类型项目经验及业绩情况佐证材料</w:t>
      </w:r>
    </w:p>
    <w:p>
      <w:pPr>
        <w:numPr>
          <w:ilvl w:val="0"/>
          <w:numId w:val="0"/>
        </w:numPr>
        <w:adjustRightInd w:val="0"/>
        <w:snapToGrid w:val="0"/>
        <w:spacing w:line="600" w:lineRule="exact"/>
        <w:ind w:left="0" w:firstLine="640" w:firstLineChars="200"/>
        <w:jc w:val="left"/>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cs="Times New Roman"/>
          <w:b w:val="0"/>
          <w:bCs w:val="0"/>
          <w:sz w:val="32"/>
          <w:szCs w:val="32"/>
          <w:highlight w:val="none"/>
          <w:lang w:val="en-US" w:eastAsia="zh-CN"/>
        </w:rPr>
        <w:t>2.</w:t>
      </w:r>
      <w:r>
        <w:rPr>
          <w:rFonts w:hint="eastAsia" w:ascii="仿宋_GB2312" w:hAnsi="Times New Roman" w:eastAsia="仿宋_GB2312" w:cs="Times New Roman"/>
          <w:b w:val="0"/>
          <w:bCs w:val="0"/>
          <w:sz w:val="32"/>
          <w:szCs w:val="32"/>
          <w:highlight w:val="none"/>
          <w:lang w:val="en-US" w:eastAsia="zh-CN"/>
        </w:rPr>
        <w:t>申请人被认定为国家</w:t>
      </w:r>
      <w:r>
        <w:rPr>
          <w:rFonts w:hint="eastAsia" w:ascii="仿宋_GB2312" w:eastAsia="仿宋_GB2312" w:cs="Times New Roman"/>
          <w:b w:val="0"/>
          <w:bCs w:val="0"/>
          <w:sz w:val="32"/>
          <w:szCs w:val="32"/>
          <w:highlight w:val="none"/>
          <w:lang w:val="en-US" w:eastAsia="zh-CN"/>
        </w:rPr>
        <w:t>和</w:t>
      </w:r>
      <w:r>
        <w:rPr>
          <w:rFonts w:hint="eastAsia" w:ascii="仿宋_GB2312" w:hAnsi="Times New Roman" w:eastAsia="仿宋_GB2312" w:cs="Times New Roman"/>
          <w:b w:val="0"/>
          <w:bCs w:val="0"/>
          <w:sz w:val="32"/>
          <w:szCs w:val="32"/>
          <w:highlight w:val="none"/>
          <w:lang w:val="en-US" w:eastAsia="zh-CN"/>
        </w:rPr>
        <w:t>省</w:t>
      </w:r>
      <w:r>
        <w:rPr>
          <w:rFonts w:hint="eastAsia" w:ascii="仿宋_GB2312" w:eastAsia="仿宋_GB2312" w:cs="Times New Roman"/>
          <w:b w:val="0"/>
          <w:bCs w:val="0"/>
          <w:sz w:val="32"/>
          <w:szCs w:val="32"/>
          <w:highlight w:val="none"/>
          <w:lang w:val="en-US" w:eastAsia="zh-CN"/>
        </w:rPr>
        <w:t>级</w:t>
      </w:r>
      <w:r>
        <w:rPr>
          <w:rFonts w:hint="eastAsia" w:ascii="仿宋_GB2312" w:hAnsi="Times New Roman" w:eastAsia="仿宋_GB2312" w:cs="Times New Roman"/>
          <w:b w:val="0"/>
          <w:bCs w:val="0"/>
          <w:sz w:val="32"/>
          <w:szCs w:val="32"/>
          <w:highlight w:val="none"/>
          <w:lang w:val="en-US" w:eastAsia="zh-CN"/>
        </w:rPr>
        <w:t>知识产权公共服务网点或</w:t>
      </w:r>
      <w:r>
        <w:rPr>
          <w:rFonts w:hint="eastAsia" w:ascii="仿宋_GB2312" w:eastAsia="仿宋_GB2312" w:cs="Times New Roman"/>
          <w:b w:val="0"/>
          <w:bCs w:val="0"/>
          <w:sz w:val="32"/>
          <w:szCs w:val="32"/>
          <w:highlight w:val="none"/>
          <w:lang w:val="en-US" w:eastAsia="zh-CN"/>
        </w:rPr>
        <w:t>拥有</w:t>
      </w:r>
      <w:r>
        <w:rPr>
          <w:rFonts w:hint="eastAsia" w:ascii="仿宋_GB2312" w:hAnsi="Times New Roman" w:eastAsia="仿宋_GB2312" w:cs="Times New Roman"/>
          <w:b w:val="0"/>
          <w:bCs w:val="0"/>
          <w:sz w:val="32"/>
          <w:szCs w:val="32"/>
          <w:highlight w:val="none"/>
          <w:lang w:val="en-US" w:eastAsia="zh-CN"/>
        </w:rPr>
        <w:t>由国家、省知识产权主管部门认定的其他公共服务资质的，需提交相关佐证材料。</w:t>
      </w:r>
    </w:p>
    <w:p>
      <w:pPr>
        <w:numPr>
          <w:ilvl w:val="0"/>
          <w:numId w:val="0"/>
        </w:numPr>
        <w:adjustRightInd w:val="0"/>
        <w:snapToGrid w:val="0"/>
        <w:spacing w:line="600" w:lineRule="exact"/>
        <w:ind w:firstLine="640" w:firstLineChars="200"/>
        <w:jc w:val="left"/>
        <w:rPr>
          <w:rFonts w:hint="eastAsia" w:ascii="仿宋_GB2312" w:hAnsi="Calibri" w:eastAsia="仿宋_GB2312" w:cs="Times New Roman"/>
          <w:b w:val="0"/>
          <w:bCs w:val="0"/>
          <w:sz w:val="32"/>
          <w:szCs w:val="32"/>
          <w:highlight w:val="none"/>
          <w:lang w:eastAsia="zh-CN"/>
        </w:rPr>
      </w:pPr>
      <w:r>
        <w:rPr>
          <w:rFonts w:hint="eastAsia" w:ascii="仿宋_GB2312" w:hAnsi="Times New Roman" w:eastAsia="仿宋_GB2312" w:cs="Times New Roman"/>
          <w:sz w:val="32"/>
          <w:szCs w:val="32"/>
          <w:highlight w:val="none"/>
        </w:rPr>
        <w:t>以上第（一）至第（</w:t>
      </w:r>
      <w:r>
        <w:rPr>
          <w:rFonts w:hint="eastAsia" w:ascii="仿宋_GB2312" w:eastAsia="仿宋_GB2312" w:cs="Times New Roman"/>
          <w:sz w:val="32"/>
          <w:szCs w:val="32"/>
          <w:highlight w:val="none"/>
          <w:lang w:eastAsia="zh-CN"/>
        </w:rPr>
        <w:t>三</w:t>
      </w:r>
      <w:r>
        <w:rPr>
          <w:rFonts w:hint="eastAsia" w:ascii="仿宋_GB2312" w:hAnsi="Times New Roman" w:eastAsia="仿宋_GB2312" w:cs="Times New Roman"/>
          <w:sz w:val="32"/>
          <w:szCs w:val="32"/>
          <w:highlight w:val="none"/>
        </w:rPr>
        <w:t>）项全部申请材料应当确保页面文字、公章、签名等实质性内容清晰可辨，各页面主要内容均为正向，不可横置或倒置。</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受理事宜</w:t>
      </w:r>
    </w:p>
    <w:p>
      <w:pPr>
        <w:snapToGrid w:val="0"/>
        <w:spacing w:line="560" w:lineRule="exact"/>
        <w:ind w:firstLine="642" w:firstLineChars="200"/>
        <w:jc w:val="left"/>
        <w:rPr>
          <w:rFonts w:hint="eastAsia" w:ascii="仿宋_GB2312" w:hAnsi="Calibri" w:eastAsia="仿宋_GB2312" w:cs="Times New Roman"/>
          <w:sz w:val="32"/>
          <w:szCs w:val="32"/>
        </w:rPr>
      </w:pPr>
      <w:r>
        <w:rPr>
          <w:rFonts w:hint="eastAsia" w:ascii="楷体_GB2312" w:hAnsi="Calibri" w:eastAsia="楷体_GB2312" w:cs="Times New Roman"/>
          <w:b/>
          <w:bCs w:val="0"/>
          <w:sz w:val="32"/>
          <w:szCs w:val="32"/>
        </w:rPr>
        <w:t>（一）受理机关：</w:t>
      </w:r>
      <w:r>
        <w:rPr>
          <w:rFonts w:hint="eastAsia" w:ascii="仿宋_GB2312" w:hAnsi="Times New Roman" w:eastAsia="仿宋_GB2312" w:cs="Times New Roman"/>
          <w:sz w:val="32"/>
          <w:szCs w:val="32"/>
          <w:highlight w:val="none"/>
        </w:rPr>
        <w:t>深圳市市场监督管理局。</w:t>
      </w:r>
    </w:p>
    <w:p>
      <w:pPr>
        <w:snapToGrid w:val="0"/>
        <w:spacing w:line="560" w:lineRule="exact"/>
        <w:ind w:firstLine="642" w:firstLineChars="200"/>
        <w:jc w:val="left"/>
        <w:rPr>
          <w:rFonts w:hint="eastAsia" w:ascii="仿宋_GB2312" w:eastAsia="仿宋_GB2312"/>
          <w:color w:val="auto"/>
          <w:sz w:val="32"/>
          <w:szCs w:val="32"/>
          <w:highlight w:val="none"/>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r>
        <w:rPr>
          <w:rFonts w:hint="eastAsia" w:ascii="仿宋_GB2312" w:hAnsi="仿宋_GB2312" w:eastAsia="仿宋_GB2312" w:cs="仿宋_GB2312"/>
          <w:color w:val="auto"/>
          <w:sz w:val="32"/>
          <w:szCs w:val="32"/>
          <w:highlight w:val="none"/>
          <w:lang w:eastAsia="zh-CN"/>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color w:val="auto"/>
          <w:sz w:val="32"/>
          <w:szCs w:val="32"/>
        </w:rPr>
        <w:t>（三）申报方</w:t>
      </w:r>
      <w:r>
        <w:rPr>
          <w:rFonts w:hint="eastAsia" w:ascii="楷体_GB2312" w:hAnsi="楷体_GB2312" w:eastAsia="楷体_GB2312" w:cs="楷体_GB2312"/>
          <w:b/>
          <w:bCs/>
          <w:sz w:val="32"/>
          <w:szCs w:val="32"/>
        </w:rPr>
        <w:t>式</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2.申报系统技术支持电话</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color w:val="auto"/>
          <w:sz w:val="32"/>
          <w:szCs w:val="32"/>
        </w:rPr>
        <w:t>。</w:t>
      </w:r>
    </w:p>
    <w:p>
      <w:pPr>
        <w:snapToGrid w:val="0"/>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3.办公时间：星期一至星期五（法定节假日除外）上午09:00-12:00，下午14:00-18:00。</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决定机关</w:t>
      </w:r>
    </w:p>
    <w:p>
      <w:pPr>
        <w:numPr>
          <w:ilvl w:val="0"/>
          <w:numId w:val="0"/>
        </w:numPr>
        <w:snapToGrid w:val="0"/>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深圳市市场监督管理局</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办理程序与注意事项</w:t>
      </w:r>
    </w:p>
    <w:p>
      <w:pPr>
        <w:pStyle w:val="6"/>
        <w:numPr>
          <w:ilvl w:val="0"/>
          <w:numId w:val="0"/>
        </w:numPr>
        <w:snapToGrid w:val="0"/>
        <w:spacing w:line="560" w:lineRule="exact"/>
        <w:ind w:firstLine="642" w:firstLineChars="200"/>
        <w:jc w:val="both"/>
        <w:rPr>
          <w:rFonts w:hint="eastAsia" w:ascii="楷体_GB2312" w:hAnsi="Calibri" w:eastAsia="楷体_GB2312" w:cs="Times New Roman"/>
          <w:b/>
          <w:bCs w:val="0"/>
          <w:sz w:val="32"/>
          <w:szCs w:val="32"/>
        </w:rPr>
      </w:pPr>
      <w:r>
        <w:rPr>
          <w:rFonts w:hint="eastAsia" w:ascii="楷体_GB2312" w:hAnsi="Calibri" w:eastAsia="楷体_GB2312" w:cs="Times New Roman"/>
          <w:b/>
          <w:bCs w:val="0"/>
          <w:sz w:val="32"/>
          <w:szCs w:val="32"/>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p>
    <w:p>
      <w:pPr>
        <w:pStyle w:val="6"/>
        <w:numPr>
          <w:ilvl w:val="0"/>
          <w:numId w:val="0"/>
        </w:numPr>
        <w:snapToGrid w:val="0"/>
        <w:spacing w:line="560" w:lineRule="exact"/>
        <w:ind w:firstLine="642" w:firstLineChars="200"/>
        <w:jc w:val="both"/>
        <w:rPr>
          <w:rFonts w:hint="eastAsia" w:ascii="楷体_GB2312" w:hAnsi="Calibri" w:eastAsia="楷体_GB2312" w:cs="Times New Roman"/>
          <w:b/>
          <w:bCs w:val="0"/>
          <w:sz w:val="32"/>
          <w:szCs w:val="32"/>
        </w:rPr>
      </w:pPr>
      <w:r>
        <w:rPr>
          <w:rFonts w:hint="eastAsia" w:ascii="楷体_GB2312" w:hAnsi="Calibri" w:eastAsia="楷体_GB2312" w:cs="Times New Roman"/>
          <w:b/>
          <w:bCs w:val="0"/>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合规提示</w:t>
      </w:r>
    </w:p>
    <w:p>
      <w:pPr>
        <w:pStyle w:val="3"/>
        <w:numPr>
          <w:ilvl w:val="0"/>
          <w:numId w:val="3"/>
        </w:numPr>
        <w:snapToGrid w:val="0"/>
        <w:spacing w:before="0" w:beforeAutospacing="0" w:after="0" w:afterAutospacing="0" w:line="560" w:lineRule="exact"/>
        <w:ind w:firstLine="640" w:firstLineChars="200"/>
        <w:jc w:val="both"/>
        <w:rPr>
          <w:rFonts w:hint="eastAsia" w:ascii="仿宋_GB2312" w:hAnsi="Calibri" w:eastAsia="仿宋_GB2312" w:cs="Times New Roman"/>
          <w:b w:val="0"/>
          <w:sz w:val="32"/>
          <w:szCs w:val="32"/>
          <w:highlight w:val="none"/>
        </w:rPr>
      </w:pPr>
      <w:r>
        <w:rPr>
          <w:rFonts w:ascii="仿宋_GB2312" w:hAnsi="Calibri" w:eastAsia="仿宋_GB2312" w:cs="Times New Roman"/>
          <w:b w:val="0"/>
          <w:sz w:val="32"/>
          <w:szCs w:val="32"/>
          <w:highlight w:val="none"/>
        </w:rPr>
        <w:t>《深圳市市场监督管理局知识产权领域专项资金操作规程》第</w:t>
      </w:r>
      <w:r>
        <w:rPr>
          <w:rFonts w:hint="eastAsia" w:ascii="仿宋_GB2312" w:hAnsi="Calibri" w:eastAsia="仿宋_GB2312" w:cs="Times New Roman"/>
          <w:b w:val="0"/>
          <w:sz w:val="32"/>
          <w:szCs w:val="32"/>
          <w:highlight w:val="none"/>
          <w:lang w:eastAsia="zh-CN"/>
        </w:rPr>
        <w:t>三</w:t>
      </w:r>
      <w:r>
        <w:rPr>
          <w:rFonts w:ascii="仿宋_GB2312" w:hAnsi="Calibri" w:eastAsia="仿宋_GB2312" w:cs="Times New Roman"/>
          <w:b w:val="0"/>
          <w:sz w:val="32"/>
          <w:szCs w:val="32"/>
          <w:highlight w:val="none"/>
        </w:rPr>
        <w:t>十</w:t>
      </w:r>
      <w:r>
        <w:rPr>
          <w:rFonts w:hint="eastAsia" w:ascii="仿宋_GB2312" w:hAnsi="Calibri" w:eastAsia="仿宋_GB2312" w:cs="Times New Roman"/>
          <w:b w:val="0"/>
          <w:sz w:val="32"/>
          <w:szCs w:val="32"/>
          <w:highlight w:val="none"/>
          <w:lang w:eastAsia="zh-CN"/>
        </w:rPr>
        <w:t>七</w:t>
      </w:r>
      <w:r>
        <w:rPr>
          <w:rFonts w:ascii="仿宋_GB2312" w:hAnsi="Calibri" w:eastAsia="仿宋_GB2312" w:cs="Times New Roman"/>
          <w:b w:val="0"/>
          <w:sz w:val="32"/>
          <w:szCs w:val="32"/>
          <w:highlight w:val="none"/>
        </w:rPr>
        <w:t>条规定：</w:t>
      </w:r>
      <w:r>
        <w:rPr>
          <w:rFonts w:hint="eastAsia" w:ascii="仿宋_GB2312" w:hAnsi="Calibri" w:eastAsia="仿宋_GB2312" w:cs="Times New Roman"/>
          <w:b w:val="0"/>
          <w:sz w:val="32"/>
          <w:szCs w:val="32"/>
          <w:highlight w:val="none"/>
        </w:rPr>
        <w:t>申请人应对提交的申请材料真实性、合法性、有效性负责。申请人利用虚假材料或</w:t>
      </w:r>
      <w:r>
        <w:rPr>
          <w:rFonts w:hint="eastAsia" w:ascii="仿宋_GB2312" w:hAnsi="Calibri" w:eastAsia="仿宋_GB2312" w:cs="Times New Roman"/>
          <w:b w:val="0"/>
          <w:sz w:val="32"/>
          <w:szCs w:val="32"/>
          <w:highlight w:val="none"/>
          <w:lang w:eastAsia="zh-CN"/>
        </w:rPr>
        <w:t>通过</w:t>
      </w:r>
      <w:r>
        <w:rPr>
          <w:rFonts w:hint="eastAsia" w:ascii="仿宋_GB2312" w:hAnsi="Calibri" w:eastAsia="仿宋_GB2312" w:cs="Times New Roman"/>
          <w:b w:val="0"/>
          <w:sz w:val="32"/>
          <w:szCs w:val="32"/>
          <w:highlight w:val="none"/>
        </w:rPr>
        <w:t>其</w:t>
      </w:r>
      <w:r>
        <w:rPr>
          <w:rFonts w:hint="eastAsia" w:ascii="仿宋_GB2312" w:hAnsi="Calibri" w:eastAsia="仿宋_GB2312" w:cs="Times New Roman"/>
          <w:b w:val="0"/>
          <w:sz w:val="32"/>
          <w:szCs w:val="32"/>
          <w:highlight w:val="none"/>
          <w:lang w:eastAsia="zh-CN"/>
        </w:rPr>
        <w:t>他</w:t>
      </w:r>
      <w:r>
        <w:rPr>
          <w:rFonts w:hint="eastAsia" w:ascii="仿宋_GB2312" w:hAnsi="Calibri" w:eastAsia="仿宋_GB2312" w:cs="Times New Roman"/>
          <w:b w:val="0"/>
          <w:sz w:val="32"/>
          <w:szCs w:val="32"/>
          <w:highlight w:val="none"/>
        </w:rPr>
        <w:t>不正当行为骗取、套取、虚报、冒领、截留、挪用专项资金或者违反其</w:t>
      </w:r>
      <w:r>
        <w:rPr>
          <w:rFonts w:hint="eastAsia" w:ascii="仿宋_GB2312" w:hAnsi="Calibri" w:eastAsia="仿宋_GB2312" w:cs="Times New Roman"/>
          <w:b w:val="0"/>
          <w:sz w:val="32"/>
          <w:szCs w:val="32"/>
          <w:highlight w:val="none"/>
          <w:lang w:eastAsia="zh-CN"/>
        </w:rPr>
        <w:t>他</w:t>
      </w:r>
      <w:r>
        <w:rPr>
          <w:rFonts w:hint="eastAsia" w:ascii="仿宋_GB2312" w:hAnsi="Calibri" w:eastAsia="仿宋_GB2312" w:cs="Times New Roman"/>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eastAsia" w:ascii="仿宋_GB2312" w:hAnsi="Calibri" w:eastAsia="仿宋_GB2312" w:cs="Times New Roman"/>
          <w:b w:val="0"/>
          <w:sz w:val="32"/>
          <w:szCs w:val="32"/>
        </w:rPr>
      </w:pPr>
      <w:r>
        <w:rPr>
          <w:rFonts w:ascii="仿宋_GB2312" w:hAnsi="Calibri" w:eastAsia="仿宋_GB2312" w:cs="Times New Roman"/>
          <w:b w:val="0"/>
          <w:sz w:val="32"/>
          <w:szCs w:val="32"/>
          <w:highlight w:val="none"/>
        </w:rPr>
        <w:t>《深圳市市场监督管理局知识产权领域专项资金操作规程》第</w:t>
      </w:r>
      <w:r>
        <w:rPr>
          <w:rFonts w:hint="eastAsia" w:ascii="仿宋_GB2312" w:hAnsi="Calibri" w:eastAsia="仿宋_GB2312" w:cs="Times New Roman"/>
          <w:b w:val="0"/>
          <w:sz w:val="32"/>
          <w:szCs w:val="32"/>
          <w:highlight w:val="none"/>
          <w:lang w:eastAsia="zh-CN"/>
        </w:rPr>
        <w:t>三</w:t>
      </w:r>
      <w:r>
        <w:rPr>
          <w:rFonts w:ascii="仿宋_GB2312" w:hAnsi="Calibri" w:eastAsia="仿宋_GB2312" w:cs="Times New Roman"/>
          <w:b w:val="0"/>
          <w:sz w:val="32"/>
          <w:szCs w:val="32"/>
          <w:highlight w:val="none"/>
        </w:rPr>
        <w:t>十</w:t>
      </w:r>
      <w:r>
        <w:rPr>
          <w:rFonts w:hint="eastAsia" w:ascii="仿宋_GB2312" w:hAnsi="Calibri" w:eastAsia="仿宋_GB2312" w:cs="Times New Roman"/>
          <w:b w:val="0"/>
          <w:sz w:val="32"/>
          <w:szCs w:val="32"/>
          <w:highlight w:val="none"/>
          <w:lang w:eastAsia="zh-CN"/>
        </w:rPr>
        <w:t>八</w:t>
      </w:r>
      <w:r>
        <w:rPr>
          <w:rFonts w:ascii="仿宋_GB2312" w:hAnsi="Calibri" w:eastAsia="仿宋_GB2312" w:cs="Times New Roman"/>
          <w:b w:val="0"/>
          <w:sz w:val="32"/>
          <w:szCs w:val="32"/>
          <w:highlight w:val="none"/>
        </w:rPr>
        <w:t>条规定：</w:t>
      </w:r>
      <w:r>
        <w:rPr>
          <w:rFonts w:hint="eastAsia" w:ascii="仿宋_GB2312" w:hAnsi="Calibri" w:eastAsia="仿宋_GB2312" w:cs="Times New Roman"/>
          <w:b w:val="0"/>
          <w:sz w:val="32"/>
          <w:szCs w:val="32"/>
          <w:highlight w:val="none"/>
        </w:rPr>
        <w:t>受委托的第三方审计机构或专业机构在审计或核验过</w:t>
      </w:r>
      <w:r>
        <w:rPr>
          <w:rFonts w:hint="eastAsia" w:ascii="仿宋_GB2312" w:hAnsi="Calibri" w:eastAsia="仿宋_GB2312" w:cs="Times New Roman"/>
          <w:b w:val="0"/>
          <w:sz w:val="32"/>
          <w:szCs w:val="32"/>
        </w:rPr>
        <w:t>程中，存在弄虚作假、隐瞒事实真相或与受资助单位串通作弊并出具相关报告</w:t>
      </w:r>
      <w:r>
        <w:rPr>
          <w:rFonts w:hint="eastAsia" w:ascii="仿宋_GB2312" w:hAnsi="Calibri" w:eastAsia="仿宋_GB2312" w:cs="Times New Roman"/>
          <w:b w:val="0"/>
          <w:sz w:val="32"/>
          <w:szCs w:val="32"/>
          <w:lang w:eastAsia="zh-CN"/>
        </w:rPr>
        <w:t>情形的</w:t>
      </w:r>
      <w:r>
        <w:rPr>
          <w:rFonts w:hint="eastAsia" w:ascii="仿宋_GB2312" w:hAnsi="Calibri" w:eastAsia="仿宋_GB2312" w:cs="Times New Roman"/>
          <w:b w:val="0"/>
          <w:sz w:val="32"/>
          <w:szCs w:val="32"/>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收费情况</w:t>
      </w:r>
    </w:p>
    <w:p>
      <w:pPr>
        <w:snapToGrid w:val="0"/>
        <w:spacing w:line="56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不收费。</w:t>
      </w:r>
    </w:p>
    <w:p>
      <w:pPr>
        <w:pStyle w:val="6"/>
        <w:numPr>
          <w:ilvl w:val="0"/>
          <w:numId w:val="1"/>
        </w:numPr>
        <w:snapToGrid w:val="0"/>
        <w:spacing w:line="560" w:lineRule="exact"/>
        <w:ind w:left="1361"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hAnsi="Calibri" w:eastAsia="仿宋_GB2312" w:cs="Times New Roman"/>
          <w:sz w:val="32"/>
          <w:szCs w:val="32"/>
        </w:rPr>
        <w:t>无年审、年检</w:t>
      </w:r>
      <w:r>
        <w:rPr>
          <w:rFonts w:hint="eastAsia" w:ascii="仿宋_GB2312" w:hAnsi="Calibri" w:eastAsia="仿宋_GB2312" w:cs="Times New Roman"/>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3A44DB"/>
    <w:rsid w:val="313718ED"/>
    <w:rsid w:val="39858292"/>
    <w:rsid w:val="58FF28E9"/>
    <w:rsid w:val="7DFF6C66"/>
    <w:rsid w:val="7EFF6892"/>
    <w:rsid w:val="BBCF725B"/>
    <w:rsid w:val="CE5339CE"/>
    <w:rsid w:val="EF3A44DB"/>
    <w:rsid w:val="EFFE97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2025-04-24T18:18:00Z</dcterms:created>
  <dc:creator>liuyt1</dc:creator>
  <cp:lastModifiedBy>WANGQW</cp:lastModifiedBy>
  <dcterms:modified xsi:type="dcterms:W3CDTF">2025-06-06T16:59:16Z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33B39DA07DEBEC7EE4AD4268E0327D14</vt:lpwstr>
  </property>
</Properties>
</file>