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Style w:val="5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</w:pPr>
      <w:bookmarkStart w:id="0" w:name="_GoBack"/>
      <w:bookmarkEnd w:id="0"/>
      <w:r>
        <w:rPr>
          <w:rStyle w:val="5"/>
          <w:rFonts w:hint="default" w:ascii="Times New Roman" w:hAnsi="Times New Roman" w:eastAsia="黑体" w:cs="Times New Roman"/>
          <w:b w:val="0"/>
          <w:bCs/>
          <w:sz w:val="32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bCs/>
          <w:sz w:val="32"/>
          <w:lang w:val="en-US" w:eastAsia="zh-CN"/>
        </w:rPr>
        <w:t>3</w:t>
      </w:r>
    </w:p>
    <w:p>
      <w:pPr>
        <w:pStyle w:val="2"/>
        <w:spacing w:beforeLines="100" w:beforeAutospacing="0" w:afterLines="100" w:afterAutospacing="0"/>
        <w:jc w:val="center"/>
        <w:rPr>
          <w:rStyle w:val="5"/>
          <w:rFonts w:hint="default" w:ascii="Times New Roman" w:hAnsi="Times New Roman" w:cs="Times New Roman"/>
          <w:b w:val="0"/>
          <w:bCs/>
          <w:sz w:val="44"/>
        </w:rPr>
      </w:pPr>
    </w:p>
    <w:p>
      <w:pPr>
        <w:pStyle w:val="2"/>
        <w:spacing w:beforeLines="100" w:beforeAutospacing="0" w:afterLines="100" w:afterAutospacing="0"/>
        <w:jc w:val="center"/>
        <w:rPr>
          <w:rStyle w:val="5"/>
          <w:rFonts w:hint="default" w:ascii="Times New Roman" w:hAnsi="Times New Roman" w:eastAsia="方正小标宋简体" w:cs="Times New Roman"/>
          <w:sz w:val="36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sz w:val="44"/>
        </w:rPr>
        <w:t>印染企业规范公告申请书</w:t>
      </w: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Lines="100" w:beforeAutospacing="0" w:afterLines="100" w:afterAutospacing="0"/>
        <w:jc w:val="center"/>
        <w:rPr>
          <w:rFonts w:hint="default" w:ascii="Times New Roman" w:hAnsi="Times New Roman" w:cs="Times New Roman"/>
          <w:sz w:val="18"/>
        </w:rPr>
      </w:pP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申请单位　：</w:t>
      </w:r>
      <w:r>
        <w:rPr>
          <w:rFonts w:hint="default" w:ascii="Times New Roman" w:hAnsi="Times New Roman" w:cs="Times New Roman"/>
          <w:b w:val="0"/>
          <w:bCs/>
          <w:sz w:val="28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b w:val="0"/>
          <w:bCs/>
          <w:sz w:val="28"/>
          <w:u w:val="single"/>
        </w:rPr>
        <w:t>（加盖公章）</w:t>
      </w: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2"/>
        <w:spacing w:before="0" w:beforeAutospacing="0" w:after="0" w:afterAutospacing="0" w:line="360" w:lineRule="auto"/>
        <w:ind w:firstLine="1980"/>
        <w:rPr>
          <w:rFonts w:hint="default" w:ascii="Times New Roman" w:hAnsi="Times New Roman" w:cs="Times New Roman"/>
          <w:b w:val="0"/>
          <w:bCs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</w:rPr>
      </w:pPr>
      <w:r>
        <w:rPr>
          <w:rFonts w:hint="default" w:ascii="Times New Roman" w:hAnsi="Times New Roman" w:cs="Times New Roman"/>
          <w:b w:val="0"/>
          <w:bCs/>
          <w:sz w:val="28"/>
        </w:rPr>
        <w:t>年     月    日</w:t>
      </w: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pStyle w:val="2"/>
        <w:spacing w:before="0" w:beforeAutospacing="0" w:after="0" w:afterAutospacing="0" w:line="360" w:lineRule="auto"/>
        <w:jc w:val="center"/>
        <w:rPr>
          <w:rFonts w:hint="default" w:ascii="Times New Roman" w:hAnsi="Times New Roman" w:cs="Times New Roman"/>
          <w:b/>
          <w:sz w:val="28"/>
        </w:rPr>
      </w:pPr>
    </w:p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3"/>
        <w:gridCol w:w="1267"/>
        <w:gridCol w:w="135"/>
        <w:gridCol w:w="1062"/>
        <w:gridCol w:w="68"/>
        <w:gridCol w:w="1130"/>
        <w:gridCol w:w="135"/>
        <w:gridCol w:w="1116"/>
        <w:gridCol w:w="135"/>
        <w:gridCol w:w="135"/>
        <w:gridCol w:w="1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企业基本情况表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填表人：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是否位于园区或集聚区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是□ 否□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园区或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集聚区名称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建厂时间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银行信用等级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设计生产能力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（万米/年或吨/年）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上年度实际产量（万米或吨）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上年度折标产量（万米或吨）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上年度销售收入（万元）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上年度利润总额（万元）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上年度利税总额（万元）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上年度增加值（万元）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  棉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%；混  纺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%；纯化纤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加工贸易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%；丝织物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%；其  他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针织物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1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自营贸易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主要生产工艺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前处理工艺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染色工艺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印花工艺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常规前处理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（退煮漂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%、机缸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常规印花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（平网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%、圆网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生物酶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冷轧堆染色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  堆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涂料染色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转移印花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一步法或两步法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数码印花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  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主要设备（前处理设备、染色设备、印花设备、后整理设备等）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生产商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主要性能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出厂日期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计量管理情况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水：□一级□二级□三级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电：□一级□二级□三级</w:t>
            </w: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汽：□一级□二级□三级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通过相关认证情况：ISO9000□  ISO14000□  OHSAS18000□  CSC9000-T□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能耗情况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年总耗电量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  <w:tc>
          <w:tcPr>
            <w:tcW w:w="391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年总耗天然气量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（立方米）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年总耗汽量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年光伏发电量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（千瓦时）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年总耗煤量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年总能耗（吨标煤）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单位产品综合能耗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（公斤标煤/百米或吨标煤/吨）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年新鲜水取水量（吨）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单位产品新鲜水取水量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（吨/百米或吨/吨）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年废水排放量（吨）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执行的排放标准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废水处理设施和工艺（主要设备、废水处理流程、日处理能力、排放浓度等）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年污泥产生量及处理方式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环境管理制度及应急体系建设文件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安全生产管理制度文件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有□否□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</w:rPr>
        <w:t>企业申报情况说明表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7" w:hRule="atLeast"/>
          <w:jc w:val="center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主要包括：企业基本情况介绍（包含企业主要经营类型，主要产品类型，近三年平均研究与试验发展经费支出、近三年平均技术改造投入分别占营业收入比重等）；填表内容的详细说明；企业获得地方或国家的项目、奖励、荣誉称号情况；其他需要说明的问题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99"/>
        <w:gridCol w:w="1993"/>
        <w:gridCol w:w="1174"/>
        <w:gridCol w:w="1339"/>
        <w:gridCol w:w="561"/>
        <w:gridCol w:w="579"/>
        <w:gridCol w:w="7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企业符合规范条件情况自查表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自查项目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生产地点在工业园区或集聚区内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无《产业结构调整指导目录》中规定的淘汰类生产工艺和设备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主要生产设备工艺参数实现在线检测和自动控制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生产车间有染化料自动配液输送系统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间歇式染色设备浴比满足1:8（含）以下染色设备要求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热定形、涂层等设备有废气收集处理装置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产品合格率在98%以上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实行三级用能用水计量管理，建立管理考核制度和数据统计系统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生产车间干净整洁，地面无污水，空气无可见粉尘及烟汽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化学品存储整洁规范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有质量、环境等管理体系认证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综合能耗符合规范条件要求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新鲜水取水量符合规范条件要求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各类污染物稳定达标排放，近一年无环保违法违规行为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依法办理环评批复和环保验收证明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依法办理排污许可证，开展环境信息公开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固体废弃物得到无害化处置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水重复利用率在45%以上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通过清洁生产审核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无搬迁计划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建立安全生产管理制度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本企业承诺以上情况属实，并愿承担相应责任。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申报企业（盖章）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注：企业全部满足上述条件方可申报规范公告。企业无间歇式染色设备或者热定形、涂层设备请在备注中说明。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984" w:left="1474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2"/>
        <w:gridCol w:w="1032"/>
        <w:gridCol w:w="1032"/>
        <w:gridCol w:w="1032"/>
        <w:gridCol w:w="2482"/>
        <w:gridCol w:w="572"/>
        <w:gridCol w:w="587"/>
        <w:gridCol w:w="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附表4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省级工业和信息化主管部门审核意见表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申请企业名称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申报时间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审核项目</w:t>
            </w:r>
          </w:p>
        </w:tc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生产地点在工业园区或集聚区内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企业主要生产设备均在附表1中填报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无《产业结构调整指导目录》中规定的淘汰类生产工艺和设备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主要生产设备工艺参数实现在线检测和自动控制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生产车间有染化料自动配液输送系统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间歇式染色设备浴比满足1:8（含）以下染色设备要求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热定形、涂层等设备有废气收集处理装置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产品合格率在98%以上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实行三级用能用水计量管理，建立管理考核制度和数据统计系统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生产车间干净整洁，地面无污水，空气无可见粉尘及烟汽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化学品存储整洁规范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有质量、环境等管理体系认证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综合能耗符合规范条件要求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新鲜水取水量符合规范条件要求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各类污染物稳定达标排放，近一年无环保违法违规行为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依法办理环评批复和环保验收证明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依法办理排污许可证，开展环境信息公开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固体废弃物得到无害化处置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水重复利用率在45%以上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通过清洁生产审核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无搬迁计划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建立安全生产管理制度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经申请材料核查、现场查验、函询省级生态环境主管部门等工作，该企业全部满足上述条件，基本符合印染企业规范公告申报要求。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省级工业和信息化主管部门（盖章）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年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47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BCD05"/>
    <w:rsid w:val="3EAB0813"/>
    <w:rsid w:val="4FF246BC"/>
    <w:rsid w:val="6F928534"/>
    <w:rsid w:val="7BF94B90"/>
    <w:rsid w:val="B9D77D1D"/>
    <w:rsid w:val="BD5F727C"/>
    <w:rsid w:val="BF93B76D"/>
    <w:rsid w:val="BFEAB48C"/>
    <w:rsid w:val="F2E68B19"/>
    <w:rsid w:val="FBEE20D2"/>
    <w:rsid w:val="FFEFAEC8"/>
    <w:rsid w:val="FFF73E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Times New Roman"/>
      <w:kern w:val="0"/>
      <w:sz w:val="24"/>
      <w:szCs w:val="20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15.6666666666667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kylin</cp:lastModifiedBy>
  <cp:lastPrinted>2024-02-21T08:37:31Z</cp:lastPrinted>
  <dcterms:modified xsi:type="dcterms:W3CDTF">2024-03-01T18:18:13Z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