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kinsoku/>
        <w:wordWrap/>
        <w:overflowPunct/>
        <w:topLinePunct w:val="0"/>
        <w:autoSpaceDE/>
        <w:autoSpaceDN/>
        <w:bidi w:val="0"/>
        <w:adjustRightInd/>
        <w:snapToGrid w:val="0"/>
        <w:spacing w:before="313" w:beforeLines="100" w:beforeAutospacing="0" w:after="0" w:afterAutospacing="0" w:line="560" w:lineRule="exact"/>
        <w:ind w:firstLine="420"/>
        <w:jc w:val="center"/>
        <w:textAlignment w:val="auto"/>
        <w:rPr>
          <w:rFonts w:hint="eastAsia" w:ascii="方正小标宋简体" w:hAnsi="华文中宋" w:eastAsia="方正小标宋简体" w:cs="黑体"/>
          <w:b w:val="0"/>
          <w:bCs w:val="0"/>
          <w:sz w:val="44"/>
          <w:szCs w:val="44"/>
          <w:lang w:eastAsia="zh-CN"/>
        </w:rPr>
      </w:pPr>
      <w:bookmarkStart w:id="0" w:name="_GoBack"/>
      <w:bookmarkEnd w:id="0"/>
      <w:r>
        <w:rPr>
          <w:rFonts w:ascii="方正小标宋简体" w:hAnsi="华文中宋" w:eastAsia="方正小标宋简体" w:cs="黑体"/>
          <w:b w:val="0"/>
          <w:bCs/>
          <w:sz w:val="44"/>
          <w:szCs w:val="44"/>
        </w:rPr>
        <w:t>202</w:t>
      </w:r>
      <w:r>
        <w:rPr>
          <w:rFonts w:hint="eastAsia" w:ascii="方正小标宋简体" w:hAnsi="华文中宋" w:eastAsia="方正小标宋简体" w:cs="黑体"/>
          <w:b w:val="0"/>
          <w:bCs/>
          <w:sz w:val="44"/>
          <w:szCs w:val="44"/>
          <w:lang w:val="en-US" w:eastAsia="zh-CN"/>
        </w:rPr>
        <w:t>5</w:t>
      </w:r>
      <w:r>
        <w:rPr>
          <w:rFonts w:ascii="方正小标宋简体" w:hAnsi="华文中宋" w:eastAsia="方正小标宋简体" w:cs="黑体"/>
          <w:b w:val="0"/>
          <w:bCs/>
          <w:sz w:val="44"/>
          <w:szCs w:val="44"/>
        </w:rPr>
        <w:t>年</w:t>
      </w:r>
      <w:r>
        <w:rPr>
          <w:rFonts w:hint="eastAsia" w:ascii="方正小标宋简体" w:hAnsi="华文中宋" w:eastAsia="方正小标宋简体" w:cs="黑体"/>
          <w:b w:val="0"/>
          <w:bCs/>
          <w:sz w:val="44"/>
          <w:szCs w:val="44"/>
          <w:lang w:eastAsia="zh-CN"/>
        </w:rPr>
        <w:t>度</w:t>
      </w:r>
      <w:r>
        <w:rPr>
          <w:rFonts w:hint="eastAsia" w:ascii="方正小标宋简体" w:hAnsi="华文中宋" w:eastAsia="方正小标宋简体" w:cs="黑体"/>
          <w:b w:val="0"/>
          <w:bCs w:val="0"/>
          <w:sz w:val="44"/>
          <w:szCs w:val="44"/>
          <w:lang w:eastAsia="zh-CN"/>
        </w:rPr>
        <w:t>产业知识产权联盟资助项目</w:t>
      </w:r>
    </w:p>
    <w:p>
      <w:pPr>
        <w:pStyle w:val="3"/>
        <w:keepNext w:val="0"/>
        <w:keepLines w:val="0"/>
        <w:pageBreakBefore w:val="0"/>
        <w:widowControl/>
        <w:kinsoku/>
        <w:wordWrap/>
        <w:overflowPunct/>
        <w:topLinePunct w:val="0"/>
        <w:autoSpaceDE/>
        <w:autoSpaceDN/>
        <w:bidi w:val="0"/>
        <w:adjustRightInd/>
        <w:snapToGrid w:val="0"/>
        <w:spacing w:before="0" w:beforeAutospacing="0" w:after="157" w:afterLines="50" w:afterAutospacing="0" w:line="560" w:lineRule="exact"/>
        <w:ind w:firstLine="420"/>
        <w:jc w:val="center"/>
        <w:textAlignment w:val="auto"/>
        <w:rPr>
          <w:rFonts w:hint="eastAsia" w:ascii="方正小标宋简体" w:hAnsi="华文中宋" w:eastAsia="方正小标宋简体" w:cs="黑体"/>
          <w:b w:val="0"/>
          <w:bCs/>
          <w:sz w:val="44"/>
          <w:szCs w:val="44"/>
          <w:lang w:eastAsia="zh-CN"/>
        </w:rPr>
      </w:pPr>
      <w:r>
        <w:rPr>
          <w:rFonts w:hint="default" w:ascii="方正小标宋简体" w:hAnsi="华文中宋" w:eastAsia="方正小标宋简体" w:cs="黑体"/>
          <w:b w:val="0"/>
          <w:bCs w:val="0"/>
          <w:sz w:val="44"/>
          <w:szCs w:val="44"/>
        </w:rPr>
        <w:t>申报指南</w:t>
      </w:r>
    </w:p>
    <w:p>
      <w:pPr>
        <w:pStyle w:val="6"/>
        <w:numPr>
          <w:ilvl w:val="0"/>
          <w:numId w:val="1"/>
        </w:numPr>
        <w:snapToGrid w:val="0"/>
        <w:spacing w:line="560" w:lineRule="exact"/>
        <w:ind w:left="1361" w:firstLineChars="0"/>
        <w:rPr>
          <w:rFonts w:ascii="黑体" w:hAnsi="黑体" w:eastAsia="黑体"/>
          <w:sz w:val="32"/>
          <w:szCs w:val="32"/>
        </w:rPr>
      </w:pPr>
      <w:r>
        <w:rPr>
          <w:rFonts w:hint="eastAsia" w:ascii="黑体" w:hAnsi="黑体" w:eastAsia="黑体"/>
          <w:sz w:val="32"/>
          <w:szCs w:val="32"/>
        </w:rPr>
        <w:t>申报内容</w:t>
      </w:r>
    </w:p>
    <w:p>
      <w:pPr>
        <w:numPr>
          <w:ilvl w:val="0"/>
          <w:numId w:val="0"/>
        </w:numPr>
        <w:snapToGrid w:val="0"/>
        <w:spacing w:line="560" w:lineRule="exact"/>
        <w:ind w:firstLine="640" w:firstLineChars="200"/>
        <w:jc w:val="left"/>
        <w:rPr>
          <w:rFonts w:hint="eastAsia" w:ascii="仿宋_GB2312" w:eastAsia="仿宋_GB2312"/>
          <w:sz w:val="32"/>
          <w:szCs w:val="32"/>
          <w:highlight w:val="none"/>
        </w:rPr>
      </w:pPr>
      <w:r>
        <w:rPr>
          <w:rFonts w:hint="eastAsia" w:ascii="仿宋_GB2312" w:eastAsia="仿宋_GB2312"/>
          <w:sz w:val="32"/>
          <w:szCs w:val="32"/>
          <w:highlight w:val="none"/>
        </w:rPr>
        <w:t>202</w:t>
      </w:r>
      <w:r>
        <w:rPr>
          <w:rFonts w:hint="eastAsia" w:ascii="仿宋_GB2312" w:eastAsia="仿宋_GB2312"/>
          <w:sz w:val="32"/>
          <w:szCs w:val="32"/>
          <w:highlight w:val="none"/>
          <w:lang w:val="en-US" w:eastAsia="zh-CN"/>
        </w:rPr>
        <w:t>5</w:t>
      </w:r>
      <w:r>
        <w:rPr>
          <w:rFonts w:hint="eastAsia" w:ascii="仿宋_GB2312" w:eastAsia="仿宋_GB2312"/>
          <w:sz w:val="32"/>
          <w:szCs w:val="32"/>
          <w:highlight w:val="none"/>
        </w:rPr>
        <w:t>年</w:t>
      </w:r>
      <w:r>
        <w:rPr>
          <w:rFonts w:hint="eastAsia" w:ascii="仿宋_GB2312" w:eastAsia="仿宋_GB2312"/>
          <w:sz w:val="32"/>
          <w:szCs w:val="32"/>
          <w:highlight w:val="none"/>
          <w:lang w:eastAsia="zh-CN"/>
        </w:rPr>
        <w:t>度</w:t>
      </w:r>
      <w:r>
        <w:rPr>
          <w:rFonts w:hint="eastAsia" w:ascii="仿宋_GB2312" w:hAnsi="仿宋_GB2312" w:eastAsia="仿宋_GB2312" w:cs="仿宋_GB2312"/>
          <w:sz w:val="32"/>
          <w:szCs w:val="32"/>
          <w:highlight w:val="none"/>
        </w:rPr>
        <w:t>产业知识产权联盟资助</w:t>
      </w:r>
      <w:r>
        <w:rPr>
          <w:rFonts w:hint="eastAsia" w:ascii="仿宋_GB2312" w:eastAsia="仿宋_GB2312"/>
          <w:sz w:val="32"/>
          <w:szCs w:val="32"/>
          <w:highlight w:val="none"/>
          <w:lang w:eastAsia="zh-CN"/>
        </w:rPr>
        <w:t>项目</w:t>
      </w:r>
      <w:r>
        <w:rPr>
          <w:rFonts w:hint="eastAsia" w:ascii="仿宋_GB2312" w:eastAsia="仿宋_GB2312"/>
          <w:sz w:val="32"/>
          <w:szCs w:val="32"/>
          <w:highlight w:val="none"/>
        </w:rPr>
        <w:t>。</w:t>
      </w:r>
    </w:p>
    <w:p>
      <w:pPr>
        <w:pStyle w:val="6"/>
        <w:numPr>
          <w:ilvl w:val="0"/>
          <w:numId w:val="1"/>
        </w:numPr>
        <w:snapToGrid w:val="0"/>
        <w:spacing w:line="560" w:lineRule="exact"/>
        <w:ind w:left="1361" w:firstLineChars="0"/>
        <w:rPr>
          <w:rFonts w:ascii="黑体" w:hAnsi="黑体" w:eastAsia="黑体"/>
          <w:sz w:val="32"/>
          <w:szCs w:val="32"/>
          <w:highlight w:val="none"/>
        </w:rPr>
      </w:pPr>
      <w:r>
        <w:rPr>
          <w:rFonts w:hint="eastAsia" w:ascii="黑体" w:hAnsi="黑体" w:eastAsia="黑体"/>
          <w:sz w:val="32"/>
          <w:szCs w:val="32"/>
          <w:highlight w:val="none"/>
        </w:rPr>
        <w:t>设定依据</w:t>
      </w:r>
    </w:p>
    <w:p>
      <w:pPr>
        <w:numPr>
          <w:ilvl w:val="0"/>
          <w:numId w:val="0"/>
        </w:numPr>
        <w:snapToGrid w:val="0"/>
        <w:spacing w:line="560" w:lineRule="exact"/>
        <w:ind w:firstLine="640" w:firstLineChars="200"/>
        <w:jc w:val="left"/>
        <w:rPr>
          <w:rFonts w:ascii="仿宋_GB2312" w:eastAsia="仿宋_GB2312"/>
          <w:sz w:val="32"/>
          <w:szCs w:val="32"/>
          <w:highlight w:val="none"/>
        </w:rPr>
      </w:pPr>
      <w:r>
        <w:rPr>
          <w:rFonts w:hint="eastAsia" w:ascii="仿宋_GB2312" w:eastAsia="仿宋_GB2312"/>
          <w:sz w:val="32"/>
          <w:szCs w:val="32"/>
          <w:highlight w:val="none"/>
        </w:rPr>
        <w:t>（一）《深圳市市场监督管理局专项资金管理办法》</w:t>
      </w:r>
      <w:r>
        <w:rPr>
          <w:rFonts w:hint="default" w:ascii="仿宋_GB2312" w:eastAsia="仿宋_GB2312"/>
          <w:sz w:val="32"/>
          <w:szCs w:val="32"/>
          <w:highlight w:val="none"/>
        </w:rPr>
        <w:t>(</w:t>
      </w:r>
      <w:r>
        <w:rPr>
          <w:rFonts w:hint="eastAsia" w:ascii="仿宋_GB2312" w:eastAsia="仿宋_GB2312"/>
          <w:sz w:val="32"/>
          <w:szCs w:val="32"/>
          <w:highlight w:val="none"/>
        </w:rPr>
        <w:t>深市监规〔202</w:t>
      </w:r>
      <w:r>
        <w:rPr>
          <w:rFonts w:hint="eastAsia" w:ascii="仿宋_GB2312" w:eastAsia="仿宋_GB2312"/>
          <w:sz w:val="32"/>
          <w:szCs w:val="32"/>
          <w:highlight w:val="none"/>
          <w:lang w:val="en-US" w:eastAsia="zh-CN"/>
        </w:rPr>
        <w:t>4</w:t>
      </w: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9</w:t>
      </w:r>
      <w:r>
        <w:rPr>
          <w:rFonts w:hint="eastAsia" w:ascii="仿宋_GB2312" w:eastAsia="仿宋_GB2312"/>
          <w:sz w:val="32"/>
          <w:szCs w:val="32"/>
          <w:highlight w:val="none"/>
        </w:rPr>
        <w:t>号</w:t>
      </w:r>
      <w:r>
        <w:rPr>
          <w:rFonts w:hint="default" w:ascii="仿宋_GB2312" w:eastAsia="仿宋_GB2312"/>
          <w:sz w:val="32"/>
          <w:szCs w:val="32"/>
          <w:highlight w:val="none"/>
        </w:rPr>
        <w:t>)</w:t>
      </w:r>
      <w:r>
        <w:rPr>
          <w:rFonts w:hint="eastAsia" w:ascii="仿宋_GB2312" w:eastAsia="仿宋_GB2312"/>
          <w:sz w:val="32"/>
          <w:szCs w:val="32"/>
          <w:highlight w:val="none"/>
        </w:rPr>
        <w:t>；</w:t>
      </w:r>
    </w:p>
    <w:p>
      <w:pPr>
        <w:tabs>
          <w:tab w:val="left" w:pos="5250"/>
        </w:tabs>
        <w:snapToGrid w:val="0"/>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（二）《深圳市市场监督管理局知识产权领域专项资金操作规程》</w:t>
      </w:r>
      <w:r>
        <w:rPr>
          <w:rFonts w:hint="default" w:ascii="仿宋_GB2312" w:eastAsia="仿宋_GB2312"/>
          <w:sz w:val="32"/>
          <w:szCs w:val="32"/>
          <w:highlight w:val="none"/>
        </w:rPr>
        <w:t>(</w:t>
      </w:r>
      <w:r>
        <w:rPr>
          <w:rFonts w:hint="eastAsia" w:ascii="仿宋_GB2312" w:eastAsia="仿宋_GB2312"/>
          <w:sz w:val="32"/>
          <w:szCs w:val="32"/>
          <w:highlight w:val="none"/>
        </w:rPr>
        <w:t>深市监规〔202</w:t>
      </w:r>
      <w:r>
        <w:rPr>
          <w:rFonts w:hint="eastAsia" w:ascii="仿宋_GB2312" w:eastAsia="仿宋_GB2312"/>
          <w:sz w:val="32"/>
          <w:szCs w:val="32"/>
          <w:highlight w:val="none"/>
          <w:lang w:val="en-US" w:eastAsia="zh-CN"/>
        </w:rPr>
        <w:t>4</w:t>
      </w: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5</w:t>
      </w:r>
      <w:r>
        <w:rPr>
          <w:rFonts w:hint="eastAsia" w:ascii="仿宋_GB2312" w:eastAsia="仿宋_GB2312"/>
          <w:sz w:val="32"/>
          <w:szCs w:val="32"/>
          <w:highlight w:val="none"/>
        </w:rPr>
        <w:t>号</w:t>
      </w:r>
      <w:r>
        <w:rPr>
          <w:rFonts w:hint="default" w:ascii="仿宋_GB2312" w:eastAsia="仿宋_GB2312"/>
          <w:sz w:val="32"/>
          <w:szCs w:val="32"/>
          <w:highlight w:val="none"/>
        </w:rPr>
        <w:t>)</w:t>
      </w:r>
      <w:r>
        <w:rPr>
          <w:rFonts w:hint="eastAsia" w:ascii="仿宋_GB2312" w:eastAsia="仿宋_GB2312"/>
          <w:sz w:val="32"/>
          <w:szCs w:val="32"/>
          <w:highlight w:val="none"/>
        </w:rPr>
        <w:t>。</w:t>
      </w:r>
    </w:p>
    <w:p>
      <w:pPr>
        <w:pStyle w:val="6"/>
        <w:numPr>
          <w:ilvl w:val="0"/>
          <w:numId w:val="1"/>
        </w:numPr>
        <w:snapToGrid w:val="0"/>
        <w:spacing w:line="560" w:lineRule="exact"/>
        <w:ind w:left="1361" w:firstLineChars="0"/>
        <w:rPr>
          <w:rFonts w:ascii="黑体" w:hAnsi="黑体" w:eastAsia="黑体"/>
          <w:sz w:val="32"/>
          <w:szCs w:val="32"/>
        </w:rPr>
      </w:pPr>
      <w:r>
        <w:rPr>
          <w:rFonts w:hint="eastAsia" w:ascii="黑体" w:hAnsi="黑体" w:eastAsia="黑体"/>
          <w:sz w:val="32"/>
          <w:szCs w:val="32"/>
        </w:rPr>
        <w:t>资助</w:t>
      </w:r>
      <w:r>
        <w:rPr>
          <w:rFonts w:hint="eastAsia" w:ascii="黑体" w:hAnsi="黑体" w:eastAsia="黑体"/>
          <w:sz w:val="32"/>
          <w:szCs w:val="32"/>
          <w:lang w:eastAsia="zh-CN"/>
        </w:rPr>
        <w:t>标准</w:t>
      </w:r>
      <w:r>
        <w:rPr>
          <w:rFonts w:ascii="黑体" w:hAnsi="黑体" w:eastAsia="黑体"/>
          <w:sz w:val="32"/>
          <w:szCs w:val="32"/>
        </w:rPr>
        <w:t xml:space="preserve"> </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560" w:lineRule="exact"/>
        <w:ind w:firstLine="640" w:firstLineChars="200"/>
        <w:jc w:val="both"/>
        <w:textAlignment w:val="auto"/>
        <w:rPr>
          <w:rFonts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对于已向广东省知识产权主管部门备案并符合深圳市产业政策导向的产业知识产权联盟给予资助，每年评选不超过3项，参考上年度实际支出成本每项资助不超过50万元。</w:t>
      </w:r>
    </w:p>
    <w:p>
      <w:pPr>
        <w:pStyle w:val="6"/>
        <w:numPr>
          <w:ilvl w:val="0"/>
          <w:numId w:val="1"/>
        </w:numPr>
        <w:snapToGrid w:val="0"/>
        <w:spacing w:line="560" w:lineRule="exact"/>
        <w:ind w:left="1361" w:firstLineChars="0"/>
        <w:rPr>
          <w:rFonts w:ascii="黑体" w:hAnsi="黑体" w:eastAsia="黑体"/>
          <w:sz w:val="32"/>
          <w:szCs w:val="32"/>
        </w:rPr>
      </w:pPr>
      <w:r>
        <w:rPr>
          <w:rFonts w:hint="eastAsia" w:ascii="黑体" w:hAnsi="黑体" w:eastAsia="黑体"/>
          <w:sz w:val="32"/>
          <w:szCs w:val="32"/>
        </w:rPr>
        <w:t>申请条件</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b w:val="0"/>
          <w:bCs w:val="0"/>
          <w:color w:val="auto"/>
          <w:sz w:val="32"/>
          <w:szCs w:val="32"/>
        </w:rPr>
      </w:pPr>
      <w:r>
        <w:rPr>
          <w:rFonts w:hint="eastAsia" w:ascii="仿宋_GB2312" w:hAnsi="仿宋_GB2312" w:eastAsia="仿宋_GB2312" w:cs="仿宋_GB2312"/>
          <w:sz w:val="32"/>
          <w:szCs w:val="32"/>
        </w:rPr>
        <w:t>申请人应当同时符合下列条件：</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（一）申请人为联盟秘书单位或者发起单位，且为依法登记注册的企事业单位、社会组织或其他机构；</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（二）</w:t>
      </w:r>
      <w:r>
        <w:rPr>
          <w:rFonts w:hint="eastAsia" w:ascii="仿宋_GB2312" w:hAnsi="仿宋_GB2312" w:eastAsia="仿宋_GB2312" w:cs="仿宋_GB2312"/>
          <w:b w:val="0"/>
          <w:bCs w:val="0"/>
          <w:color w:val="auto"/>
          <w:sz w:val="32"/>
          <w:szCs w:val="32"/>
          <w:lang w:eastAsia="zh-CN"/>
        </w:rPr>
        <w:t>联盟</w:t>
      </w:r>
      <w:r>
        <w:rPr>
          <w:rFonts w:hint="eastAsia" w:ascii="仿宋_GB2312" w:hAnsi="仿宋_GB2312" w:eastAsia="仿宋_GB2312" w:cs="仿宋_GB2312"/>
          <w:b w:val="0"/>
          <w:bCs w:val="0"/>
          <w:color w:val="auto"/>
          <w:sz w:val="32"/>
          <w:szCs w:val="32"/>
        </w:rPr>
        <w:t>所属行业属于《深圳市人民政府关于发展壮大战略性新兴产业集群和培育发展未来产业的意见》</w:t>
      </w:r>
      <w:r>
        <w:rPr>
          <w:rFonts w:hint="default"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rPr>
        <w:t>深府〔</w:t>
      </w:r>
      <w:r>
        <w:rPr>
          <w:rFonts w:hint="eastAsia" w:ascii="仿宋_GB2312" w:hAnsi="仿宋_GB2312" w:eastAsia="仿宋_GB2312" w:cs="仿宋_GB2312"/>
          <w:b w:val="0"/>
          <w:bCs w:val="0"/>
          <w:color w:val="auto"/>
          <w:sz w:val="32"/>
          <w:szCs w:val="32"/>
          <w:lang w:val="en-US" w:eastAsia="zh-CN"/>
        </w:rPr>
        <w:t>2022</w:t>
      </w:r>
      <w:r>
        <w:rPr>
          <w:rFonts w:hint="eastAsia" w:ascii="仿宋_GB2312" w:hAnsi="仿宋_GB2312" w:eastAsia="仿宋_GB2312" w:cs="仿宋_GB2312"/>
          <w:b w:val="0"/>
          <w:bCs w:val="0"/>
          <w:color w:val="auto"/>
          <w:sz w:val="32"/>
          <w:szCs w:val="32"/>
        </w:rPr>
        <w:t>〕1号</w:t>
      </w:r>
      <w:r>
        <w:rPr>
          <w:rFonts w:hint="default"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rPr>
        <w:t>列出的20个战略性新兴产业</w:t>
      </w:r>
      <w:r>
        <w:rPr>
          <w:rFonts w:hint="eastAsia" w:ascii="仿宋_GB2312" w:hAnsi="仿宋_GB2312" w:eastAsia="仿宋_GB2312" w:cs="仿宋_GB2312"/>
          <w:b w:val="0"/>
          <w:bCs w:val="0"/>
          <w:color w:val="auto"/>
          <w:sz w:val="32"/>
          <w:szCs w:val="32"/>
          <w:lang w:eastAsia="zh-CN"/>
        </w:rPr>
        <w:t>重点细分领域</w:t>
      </w:r>
      <w:r>
        <w:rPr>
          <w:rFonts w:hint="eastAsia" w:ascii="仿宋_GB2312" w:hAnsi="仿宋_GB2312" w:eastAsia="仿宋_GB2312" w:cs="仿宋_GB2312"/>
          <w:b w:val="0"/>
          <w:bCs w:val="0"/>
          <w:color w:val="auto"/>
          <w:sz w:val="32"/>
          <w:szCs w:val="32"/>
        </w:rPr>
        <w:t>和8个未来产业</w:t>
      </w:r>
      <w:r>
        <w:rPr>
          <w:rFonts w:hint="eastAsia" w:ascii="仿宋_GB2312" w:hAnsi="仿宋_GB2312" w:eastAsia="仿宋_GB2312" w:cs="仿宋_GB2312"/>
          <w:b w:val="0"/>
          <w:bCs w:val="0"/>
          <w:color w:val="auto"/>
          <w:sz w:val="32"/>
          <w:szCs w:val="32"/>
          <w:lang w:eastAsia="zh-CN"/>
        </w:rPr>
        <w:t>重点发展方向，或</w:t>
      </w:r>
      <w:r>
        <w:rPr>
          <w:rFonts w:hint="eastAsia" w:ascii="仿宋_GB2312" w:hAnsi="Calibri" w:eastAsia="仿宋_GB2312" w:cs="Times New Roman"/>
          <w:b w:val="0"/>
          <w:bCs w:val="0"/>
          <w:color w:val="auto"/>
          <w:sz w:val="32"/>
          <w:szCs w:val="32"/>
        </w:rPr>
        <w:t>深圳市政府</w:t>
      </w:r>
      <w:r>
        <w:rPr>
          <w:rFonts w:hint="eastAsia" w:ascii="仿宋_GB2312" w:hAnsi="Calibri" w:eastAsia="仿宋_GB2312" w:cs="Times New Roman"/>
          <w:b w:val="0"/>
          <w:bCs w:val="0"/>
          <w:color w:val="auto"/>
          <w:sz w:val="32"/>
          <w:szCs w:val="32"/>
          <w:lang w:eastAsia="zh-CN"/>
        </w:rPr>
        <w:t>其他</w:t>
      </w:r>
      <w:r>
        <w:rPr>
          <w:rFonts w:hint="eastAsia" w:ascii="仿宋_GB2312" w:hAnsi="Calibri" w:eastAsia="仿宋_GB2312" w:cs="Times New Roman"/>
          <w:b w:val="0"/>
          <w:bCs w:val="0"/>
          <w:color w:val="auto"/>
          <w:sz w:val="32"/>
          <w:szCs w:val="32"/>
        </w:rPr>
        <w:t>重点规划</w:t>
      </w:r>
      <w:r>
        <w:rPr>
          <w:rFonts w:hint="eastAsia" w:ascii="仿宋_GB2312" w:hAnsi="Calibri" w:eastAsia="仿宋_GB2312" w:cs="Times New Roman"/>
          <w:b w:val="0"/>
          <w:bCs w:val="0"/>
          <w:color w:val="auto"/>
          <w:sz w:val="32"/>
          <w:szCs w:val="32"/>
          <w:lang w:eastAsia="zh-CN"/>
        </w:rPr>
        <w:t>发展方向</w:t>
      </w:r>
      <w:r>
        <w:rPr>
          <w:rFonts w:hint="eastAsia" w:ascii="仿宋_GB2312" w:hAnsi="仿宋_GB2312" w:eastAsia="仿宋_GB2312" w:cs="仿宋_GB2312"/>
          <w:b w:val="0"/>
          <w:bCs w:val="0"/>
          <w:color w:val="auto"/>
          <w:sz w:val="32"/>
          <w:szCs w:val="32"/>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（三）联盟已向</w:t>
      </w:r>
      <w:r>
        <w:rPr>
          <w:rFonts w:hint="eastAsia" w:ascii="仿宋_GB2312" w:hAnsi="仿宋_GB2312" w:eastAsia="仿宋_GB2312" w:cs="仿宋_GB2312"/>
          <w:b w:val="0"/>
          <w:bCs w:val="0"/>
          <w:color w:val="auto"/>
          <w:sz w:val="32"/>
          <w:szCs w:val="32"/>
          <w:lang w:eastAsia="zh-CN"/>
        </w:rPr>
        <w:t>广东省</w:t>
      </w:r>
      <w:r>
        <w:rPr>
          <w:rFonts w:hint="eastAsia" w:ascii="仿宋_GB2312" w:hAnsi="仿宋_GB2312" w:eastAsia="仿宋_GB2312" w:cs="仿宋_GB2312"/>
          <w:b w:val="0"/>
          <w:bCs w:val="0"/>
          <w:color w:val="auto"/>
          <w:sz w:val="32"/>
          <w:szCs w:val="32"/>
        </w:rPr>
        <w:t>知识产权主管部门备案；</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（四）</w:t>
      </w:r>
      <w:r>
        <w:rPr>
          <w:rFonts w:hint="eastAsia" w:ascii="仿宋_GB2312" w:hAnsi="仿宋_GB2312" w:eastAsia="仿宋_GB2312" w:cs="仿宋_GB2312"/>
          <w:b w:val="0"/>
          <w:bCs w:val="0"/>
          <w:color w:val="auto"/>
          <w:sz w:val="32"/>
          <w:szCs w:val="32"/>
          <w:lang w:eastAsia="zh-CN"/>
        </w:rPr>
        <w:t>联盟</w:t>
      </w:r>
      <w:r>
        <w:rPr>
          <w:rFonts w:hint="eastAsia" w:ascii="仿宋_GB2312" w:hAnsi="仿宋_GB2312" w:eastAsia="仿宋_GB2312" w:cs="仿宋_GB2312"/>
          <w:b w:val="0"/>
          <w:bCs w:val="0"/>
          <w:color w:val="auto"/>
          <w:sz w:val="32"/>
          <w:szCs w:val="32"/>
        </w:rPr>
        <w:t>近3年内未获得过本条规定的资助；</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（五）</w:t>
      </w:r>
      <w:r>
        <w:rPr>
          <w:rFonts w:hint="eastAsia" w:ascii="仿宋_GB2312" w:hAnsi="仿宋_GB2312" w:eastAsia="仿宋_GB2312" w:cs="仿宋_GB2312"/>
          <w:b w:val="0"/>
          <w:bCs w:val="0"/>
          <w:color w:val="auto"/>
          <w:sz w:val="32"/>
          <w:szCs w:val="32"/>
        </w:rPr>
        <w:t>联盟成员单位</w:t>
      </w:r>
      <w:r>
        <w:rPr>
          <w:rFonts w:hint="eastAsia" w:ascii="仿宋_GB2312" w:hAnsi="仿宋_GB2312" w:eastAsia="仿宋_GB2312" w:cs="仿宋_GB2312"/>
          <w:b w:val="0"/>
          <w:bCs w:val="0"/>
          <w:color w:val="auto"/>
          <w:sz w:val="32"/>
          <w:szCs w:val="32"/>
          <w:lang w:eastAsia="zh-CN"/>
        </w:rPr>
        <w:t>上年度</w:t>
      </w:r>
      <w:r>
        <w:rPr>
          <w:rFonts w:hint="default" w:ascii="仿宋_GB2312" w:hAnsi="仿宋_GB2312" w:eastAsia="仿宋_GB2312" w:cs="仿宋_GB2312"/>
          <w:b w:val="0"/>
          <w:bCs w:val="0"/>
          <w:color w:val="auto"/>
          <w:sz w:val="32"/>
          <w:szCs w:val="32"/>
        </w:rPr>
        <w:t>知识产权创造成果显著</w:t>
      </w:r>
      <w:r>
        <w:rPr>
          <w:rFonts w:hint="eastAsia" w:ascii="仿宋_GB2312" w:hAnsi="仿宋_GB2312" w:eastAsia="仿宋_GB2312" w:cs="仿宋_GB2312"/>
          <w:b w:val="0"/>
          <w:bCs w:val="0"/>
          <w:color w:val="auto"/>
          <w:sz w:val="32"/>
          <w:szCs w:val="32"/>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eastAsia="zh-CN"/>
        </w:rPr>
        <w:t>六</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eastAsia="zh-CN"/>
        </w:rPr>
        <w:t>联盟上年度</w:t>
      </w:r>
      <w:r>
        <w:rPr>
          <w:rFonts w:hint="eastAsia" w:ascii="仿宋_GB2312" w:hAnsi="仿宋_GB2312" w:eastAsia="仿宋_GB2312" w:cs="仿宋_GB2312"/>
          <w:b w:val="0"/>
          <w:bCs w:val="0"/>
          <w:color w:val="auto"/>
          <w:sz w:val="32"/>
          <w:szCs w:val="32"/>
        </w:rPr>
        <w:t>开展了知识产权数据库建设、专利池组建、知识产权许可转让或知识产权预警分析、知识产权维权等知识产权相关工作，对深圳市产业发展作出积极贡献。</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 w:val="0"/>
          <w:bCs w:val="0"/>
          <w:color w:val="auto"/>
          <w:sz w:val="32"/>
          <w:szCs w:val="32"/>
        </w:rPr>
        <w:t>以开展专利转化运用、知识产权预警分析工作申请资助的，同一事项不可与专利转化运用、专利导航同类项目资助重复申报。以开展知识产权维权工作申请资助的，同一事项不可与知识产权</w:t>
      </w:r>
      <w:r>
        <w:rPr>
          <w:rFonts w:hint="eastAsia" w:ascii="仿宋_GB2312" w:hAnsi="仿宋_GB2312" w:eastAsia="仿宋_GB2312" w:cs="仿宋_GB2312"/>
          <w:b w:val="0"/>
          <w:bCs w:val="0"/>
          <w:color w:val="auto"/>
          <w:sz w:val="32"/>
          <w:szCs w:val="32"/>
          <w:lang w:eastAsia="zh-CN"/>
        </w:rPr>
        <w:t>国内</w:t>
      </w:r>
      <w:r>
        <w:rPr>
          <w:rFonts w:hint="eastAsia" w:ascii="仿宋_GB2312" w:hAnsi="仿宋_GB2312" w:eastAsia="仿宋_GB2312" w:cs="仿宋_GB2312"/>
          <w:b w:val="0"/>
          <w:bCs w:val="0"/>
          <w:color w:val="auto"/>
          <w:sz w:val="32"/>
          <w:szCs w:val="32"/>
        </w:rPr>
        <w:t>维权能力提升</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知识产权海外维权能力提升同类项目资助重复申报。</w:t>
      </w:r>
    </w:p>
    <w:p>
      <w:pPr>
        <w:pStyle w:val="6"/>
        <w:numPr>
          <w:ilvl w:val="0"/>
          <w:numId w:val="1"/>
        </w:numPr>
        <w:snapToGrid w:val="0"/>
        <w:spacing w:line="560" w:lineRule="exact"/>
        <w:ind w:left="1361" w:firstLineChars="0"/>
        <w:rPr>
          <w:rFonts w:ascii="黑体" w:hAnsi="黑体" w:eastAsia="黑体" w:cs="黑体"/>
          <w:sz w:val="32"/>
          <w:szCs w:val="32"/>
        </w:rPr>
      </w:pPr>
      <w:r>
        <w:rPr>
          <w:rFonts w:hint="eastAsia" w:ascii="黑体" w:hAnsi="黑体" w:eastAsia="黑体" w:cs="黑体"/>
          <w:sz w:val="32"/>
          <w:szCs w:val="32"/>
        </w:rPr>
        <w:t>不予资助的情形</w:t>
      </w:r>
    </w:p>
    <w:p>
      <w:pPr>
        <w:snapToGrid w:val="0"/>
        <w:spacing w:line="560" w:lineRule="exact"/>
        <w:ind w:firstLine="640" w:firstLineChars="200"/>
        <w:rPr>
          <w:rFonts w:eastAsia="仿宋_GB2312"/>
          <w:b/>
          <w:sz w:val="32"/>
        </w:rPr>
      </w:pPr>
      <w:r>
        <w:rPr>
          <w:rFonts w:hint="eastAsia" w:ascii="仿宋_GB2312" w:hAnsi="仿宋_GB2312" w:eastAsia="仿宋_GB2312" w:cs="仿宋_GB2312"/>
          <w:sz w:val="32"/>
          <w:szCs w:val="32"/>
        </w:rPr>
        <w:t>申请人存在下列情形之一的，不予资助：</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（一）不符合相关法律、法规、规章、专项资金管理办法、专项资金操作规程有关要求的；</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（二）经查询深圳市信用网，依法依规被纳入严重失信主体名单的；</w:t>
      </w:r>
    </w:p>
    <w:p>
      <w:pPr>
        <w:adjustRightInd w:val="0"/>
        <w:snapToGrid w:val="0"/>
        <w:spacing w:line="60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三</w:t>
      </w:r>
      <w:r>
        <w:rPr>
          <w:rFonts w:hint="eastAsia" w:ascii="仿宋_GB2312" w:hAnsi="仿宋_GB2312" w:eastAsia="仿宋_GB2312" w:cs="仿宋_GB2312"/>
          <w:sz w:val="32"/>
          <w:szCs w:val="32"/>
          <w:highlight w:val="none"/>
        </w:rPr>
        <w:t>）所申请项目已经获得市级同类资助或者奖励的；</w:t>
      </w:r>
    </w:p>
    <w:p>
      <w:pPr>
        <w:adjustRightInd w:val="0"/>
        <w:snapToGrid w:val="0"/>
        <w:spacing w:line="600" w:lineRule="exact"/>
        <w:ind w:firstLine="640" w:firstLineChars="200"/>
        <w:rPr>
          <w:rFonts w:ascii="仿宋_GB2312" w:eastAsia="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四</w:t>
      </w:r>
      <w:r>
        <w:rPr>
          <w:rFonts w:hint="eastAsia" w:ascii="仿宋_GB2312" w:hAnsi="仿宋_GB2312" w:eastAsia="仿宋_GB2312" w:cs="仿宋_GB2312"/>
          <w:sz w:val="32"/>
          <w:szCs w:val="32"/>
          <w:highlight w:val="none"/>
        </w:rPr>
        <w:t>）申请人主体已经消亡，或者进入破产清算程序的。</w:t>
      </w:r>
    </w:p>
    <w:p>
      <w:pPr>
        <w:pStyle w:val="6"/>
        <w:numPr>
          <w:ilvl w:val="0"/>
          <w:numId w:val="1"/>
        </w:numPr>
        <w:snapToGrid w:val="0"/>
        <w:spacing w:line="560" w:lineRule="exact"/>
        <w:ind w:left="1361" w:firstLineChars="0"/>
        <w:rPr>
          <w:rFonts w:ascii="黑体" w:hAnsi="黑体" w:eastAsia="黑体" w:cs="黑体"/>
          <w:sz w:val="32"/>
          <w:szCs w:val="32"/>
          <w:highlight w:val="none"/>
        </w:rPr>
      </w:pPr>
      <w:r>
        <w:rPr>
          <w:rFonts w:hint="eastAsia" w:ascii="黑体" w:hAnsi="黑体" w:eastAsia="黑体" w:cs="黑体"/>
          <w:sz w:val="32"/>
          <w:szCs w:val="32"/>
          <w:highlight w:val="none"/>
        </w:rPr>
        <w:t>申请材料</w:t>
      </w:r>
    </w:p>
    <w:p>
      <w:pPr>
        <w:pStyle w:val="6"/>
        <w:numPr>
          <w:ilvl w:val="0"/>
          <w:numId w:val="2"/>
        </w:numPr>
        <w:snapToGrid w:val="0"/>
        <w:spacing w:line="560" w:lineRule="exact"/>
        <w:ind w:left="0" w:firstLine="643"/>
        <w:jc w:val="left"/>
        <w:rPr>
          <w:rFonts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申请表</w:t>
      </w:r>
    </w:p>
    <w:p>
      <w:pPr>
        <w:snapToGrid w:val="0"/>
        <w:spacing w:line="560" w:lineRule="exact"/>
        <w:ind w:firstLine="640" w:firstLineChars="200"/>
        <w:jc w:val="left"/>
        <w:rPr>
          <w:rFonts w:ascii="仿宋_GB2312" w:eastAsia="仿宋_GB2312"/>
          <w:sz w:val="32"/>
          <w:szCs w:val="32"/>
          <w:highlight w:val="none"/>
        </w:rPr>
      </w:pPr>
      <w:r>
        <w:rPr>
          <w:rFonts w:hint="eastAsia" w:ascii="仿宋_GB2312" w:eastAsia="仿宋_GB2312"/>
          <w:sz w:val="32"/>
          <w:szCs w:val="32"/>
          <w:highlight w:val="none"/>
        </w:rPr>
        <w:t>在申报系统上在线填写项目申报信息。</w:t>
      </w:r>
    </w:p>
    <w:p>
      <w:pPr>
        <w:pStyle w:val="6"/>
        <w:numPr>
          <w:ilvl w:val="0"/>
          <w:numId w:val="2"/>
        </w:numPr>
        <w:snapToGrid w:val="0"/>
        <w:spacing w:line="560" w:lineRule="exact"/>
        <w:ind w:left="0" w:firstLine="643"/>
        <w:jc w:val="left"/>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联盟备案</w:t>
      </w:r>
      <w:r>
        <w:rPr>
          <w:rFonts w:hint="eastAsia" w:ascii="楷体_GB2312" w:hAnsi="楷体_GB2312" w:eastAsia="楷体_GB2312" w:cs="楷体_GB2312"/>
          <w:b/>
          <w:bCs/>
          <w:sz w:val="32"/>
          <w:szCs w:val="32"/>
          <w:highlight w:val="none"/>
          <w:lang w:val="en-US" w:eastAsia="zh-CN"/>
        </w:rPr>
        <w:t>相关材料</w:t>
      </w:r>
    </w:p>
    <w:p>
      <w:pPr>
        <w:pStyle w:val="6"/>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提交产业知识产权联盟已向广东省知识产权主管部门备案的</w:t>
      </w:r>
      <w:r>
        <w:rPr>
          <w:rFonts w:hint="default" w:ascii="仿宋_GB2312" w:eastAsia="仿宋_GB2312"/>
          <w:sz w:val="32"/>
          <w:szCs w:val="32"/>
          <w:highlight w:val="none"/>
          <w:lang w:eastAsia="zh-CN"/>
        </w:rPr>
        <w:t>备案申请书及联盟制度建设等</w:t>
      </w:r>
      <w:r>
        <w:rPr>
          <w:rFonts w:hint="eastAsia" w:ascii="仿宋_GB2312" w:eastAsia="仿宋_GB2312"/>
          <w:sz w:val="32"/>
          <w:szCs w:val="32"/>
          <w:highlight w:val="none"/>
          <w:lang w:val="en-US" w:eastAsia="zh-CN"/>
        </w:rPr>
        <w:t>相关文件。</w:t>
      </w:r>
    </w:p>
    <w:p>
      <w:pPr>
        <w:pStyle w:val="6"/>
        <w:numPr>
          <w:ilvl w:val="0"/>
          <w:numId w:val="2"/>
        </w:numPr>
        <w:snapToGrid w:val="0"/>
        <w:spacing w:line="560" w:lineRule="exact"/>
        <w:ind w:left="0" w:firstLine="643"/>
        <w:jc w:val="left"/>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联盟章程</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ascii="仿宋_GB2312" w:eastAsia="仿宋_GB2312"/>
          <w:sz w:val="32"/>
          <w:szCs w:val="32"/>
          <w:highlight w:val="none"/>
        </w:rPr>
      </w:pPr>
      <w:r>
        <w:rPr>
          <w:rFonts w:hint="eastAsia" w:ascii="仿宋_GB2312" w:eastAsia="仿宋_GB2312"/>
          <w:sz w:val="32"/>
          <w:szCs w:val="32"/>
          <w:highlight w:val="none"/>
          <w:lang w:val="en-US" w:eastAsia="zh-CN"/>
        </w:rPr>
        <w:t>提交知识产权联盟章程（应包含成员单位名单</w:t>
      </w:r>
      <w:r>
        <w:rPr>
          <w:rFonts w:hint="default" w:ascii="仿宋_GB2312" w:eastAsia="仿宋_GB2312"/>
          <w:sz w:val="32"/>
          <w:szCs w:val="32"/>
          <w:highlight w:val="none"/>
          <w:lang w:eastAsia="zh-CN"/>
        </w:rPr>
        <w:t>并加盖各成员单位公章</w:t>
      </w:r>
      <w:r>
        <w:rPr>
          <w:rFonts w:hint="eastAsia" w:ascii="仿宋_GB2312" w:eastAsia="仿宋_GB2312"/>
          <w:sz w:val="32"/>
          <w:szCs w:val="32"/>
          <w:highlight w:val="none"/>
          <w:lang w:val="en-US" w:eastAsia="zh-CN"/>
        </w:rPr>
        <w:t>）。</w:t>
      </w:r>
    </w:p>
    <w:p>
      <w:pPr>
        <w:pStyle w:val="6"/>
        <w:numPr>
          <w:ilvl w:val="0"/>
          <w:numId w:val="2"/>
        </w:numPr>
        <w:snapToGrid w:val="0"/>
        <w:spacing w:line="560" w:lineRule="exact"/>
        <w:ind w:left="0" w:firstLine="643"/>
        <w:jc w:val="left"/>
        <w:rPr>
          <w:rFonts w:ascii="仿宋_GB2312" w:eastAsia="仿宋_GB2312"/>
          <w:sz w:val="32"/>
          <w:szCs w:val="32"/>
          <w:highlight w:val="none"/>
        </w:rPr>
      </w:pPr>
      <w:r>
        <w:rPr>
          <w:rFonts w:hint="eastAsia" w:ascii="楷体_GB2312" w:hAnsi="楷体_GB2312" w:eastAsia="楷体_GB2312" w:cs="楷体_GB2312"/>
          <w:b/>
          <w:bCs/>
          <w:sz w:val="32"/>
          <w:szCs w:val="32"/>
          <w:highlight w:val="none"/>
        </w:rPr>
        <w:t>联盟成员单位相关专利证书、商标证书、著作权登记证书等知识产权权属材料</w:t>
      </w:r>
    </w:p>
    <w:p>
      <w:pPr>
        <w:numPr>
          <w:ilvl w:val="0"/>
          <w:numId w:val="0"/>
        </w:numPr>
        <w:snapToGrid w:val="0"/>
        <w:spacing w:line="560" w:lineRule="exact"/>
        <w:ind w:left="17" w:leftChars="8" w:firstLine="620" w:firstLineChars="194"/>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1．提交</w:t>
      </w:r>
      <w:r>
        <w:rPr>
          <w:rFonts w:hint="default" w:ascii="仿宋_GB2312" w:eastAsia="仿宋_GB2312"/>
          <w:sz w:val="32"/>
          <w:szCs w:val="32"/>
          <w:highlight w:val="none"/>
          <w:lang w:eastAsia="zh-CN"/>
        </w:rPr>
        <w:t>202</w:t>
      </w:r>
      <w:r>
        <w:rPr>
          <w:rFonts w:hint="eastAsia" w:ascii="仿宋_GB2312" w:eastAsia="仿宋_GB2312"/>
          <w:sz w:val="32"/>
          <w:szCs w:val="32"/>
          <w:highlight w:val="none"/>
          <w:lang w:val="en-US" w:eastAsia="zh-CN"/>
        </w:rPr>
        <w:t>4</w:t>
      </w:r>
      <w:r>
        <w:rPr>
          <w:rFonts w:hint="default" w:ascii="仿宋_GB2312" w:eastAsia="仿宋_GB2312"/>
          <w:sz w:val="32"/>
          <w:szCs w:val="32"/>
          <w:highlight w:val="none"/>
          <w:lang w:eastAsia="zh-CN"/>
        </w:rPr>
        <w:t>年度</w:t>
      </w:r>
      <w:r>
        <w:rPr>
          <w:rFonts w:hint="eastAsia" w:ascii="仿宋_GB2312" w:eastAsia="仿宋_GB2312"/>
          <w:sz w:val="32"/>
          <w:szCs w:val="32"/>
          <w:highlight w:val="none"/>
          <w:lang w:val="en-US" w:eastAsia="zh-CN"/>
        </w:rPr>
        <w:t>联盟成员单位知识产权清单（系统模板），并提供对应的成员单位专利证书、商标证书、著作权登记证书等知识产权权属佐证材料；</w:t>
      </w:r>
    </w:p>
    <w:p>
      <w:pPr>
        <w:numPr>
          <w:ilvl w:val="0"/>
          <w:numId w:val="0"/>
        </w:numPr>
        <w:snapToGrid w:val="0"/>
        <w:spacing w:line="560" w:lineRule="exact"/>
        <w:ind w:left="17" w:leftChars="8" w:firstLine="620" w:firstLineChars="194"/>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2．提交《关于专利证书、商标证书、著作权登记证书等相关佐证材料的申报声明》（系统模板）。</w:t>
      </w:r>
    </w:p>
    <w:p>
      <w:pPr>
        <w:pStyle w:val="6"/>
        <w:numPr>
          <w:ilvl w:val="0"/>
          <w:numId w:val="2"/>
        </w:numPr>
        <w:snapToGrid w:val="0"/>
        <w:spacing w:line="560" w:lineRule="exact"/>
        <w:ind w:left="0" w:firstLine="643"/>
        <w:jc w:val="left"/>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开展知识产权数据库建设、专利池组建、知识产权许可转让、知识产权预警分析、知识产权维权</w:t>
      </w:r>
      <w:r>
        <w:rPr>
          <w:rFonts w:hint="eastAsia" w:ascii="楷体_GB2312" w:hAnsi="楷体_GB2312" w:eastAsia="楷体_GB2312" w:cs="楷体_GB2312"/>
          <w:b/>
          <w:bCs/>
          <w:sz w:val="32"/>
          <w:szCs w:val="32"/>
          <w:highlight w:val="none"/>
          <w:lang w:eastAsia="zh-CN"/>
        </w:rPr>
        <w:t>等</w:t>
      </w:r>
      <w:r>
        <w:rPr>
          <w:rFonts w:hint="eastAsia" w:ascii="楷体_GB2312" w:hAnsi="楷体_GB2312" w:eastAsia="楷体_GB2312" w:cs="楷体_GB2312"/>
          <w:b/>
          <w:bCs/>
          <w:sz w:val="32"/>
          <w:szCs w:val="32"/>
          <w:highlight w:val="none"/>
        </w:rPr>
        <w:t>工作的</w:t>
      </w:r>
      <w:r>
        <w:rPr>
          <w:rFonts w:hint="eastAsia" w:ascii="楷体_GB2312" w:hAnsi="楷体_GB2312" w:eastAsia="楷体_GB2312" w:cs="楷体_GB2312"/>
          <w:b/>
          <w:bCs/>
          <w:sz w:val="32"/>
          <w:szCs w:val="32"/>
          <w:highlight w:val="none"/>
          <w:lang w:eastAsia="zh-CN"/>
        </w:rPr>
        <w:t>相关</w:t>
      </w:r>
      <w:r>
        <w:rPr>
          <w:rFonts w:hint="eastAsia" w:ascii="楷体_GB2312" w:hAnsi="楷体_GB2312" w:eastAsia="楷体_GB2312" w:cs="楷体_GB2312"/>
          <w:b/>
          <w:bCs/>
          <w:sz w:val="32"/>
          <w:szCs w:val="32"/>
          <w:highlight w:val="none"/>
        </w:rPr>
        <w:t>材料</w:t>
      </w:r>
    </w:p>
    <w:p>
      <w:pPr>
        <w:snapToGrid w:val="0"/>
        <w:spacing w:line="560" w:lineRule="exact"/>
        <w:ind w:firstLine="640" w:firstLineChars="200"/>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2024年度开展了知识产权数据库建设、专利池组建、专利许可</w:t>
      </w:r>
      <w:r>
        <w:rPr>
          <w:rFonts w:hint="default" w:ascii="仿宋_GB2312" w:eastAsia="仿宋_GB2312"/>
          <w:sz w:val="32"/>
          <w:szCs w:val="32"/>
          <w:highlight w:val="none"/>
          <w:lang w:eastAsia="zh-CN"/>
        </w:rPr>
        <w:t>转让、知识产权</w:t>
      </w:r>
      <w:r>
        <w:rPr>
          <w:rFonts w:hint="eastAsia" w:ascii="仿宋_GB2312" w:eastAsia="仿宋_GB2312"/>
          <w:sz w:val="32"/>
          <w:szCs w:val="32"/>
          <w:highlight w:val="none"/>
          <w:lang w:val="en-US" w:eastAsia="zh-CN"/>
        </w:rPr>
        <w:t>预警分析、知识产权维权等工作内容的，提交开展工作的佐证材料，包括但不限于：产业知识产权联盟所属行业专利预警分析报告、专利许可交易谈判协议、专利转让合同、围绕产业链相关技术和专利开展搭建数据库或构建专利池等工作的佐证材料。</w:t>
      </w:r>
    </w:p>
    <w:p>
      <w:pPr>
        <w:numPr>
          <w:ilvl w:val="0"/>
          <w:numId w:val="0"/>
        </w:numPr>
        <w:snapToGrid w:val="0"/>
        <w:spacing w:line="560" w:lineRule="exact"/>
        <w:ind w:firstLine="640" w:firstLineChars="200"/>
        <w:rPr>
          <w:rFonts w:hint="eastAsia" w:ascii="楷体_GB2312" w:hAnsi="楷体_GB2312" w:eastAsia="楷体_GB2312" w:cs="楷体_GB2312"/>
          <w:b/>
          <w:bCs/>
          <w:sz w:val="32"/>
          <w:szCs w:val="32"/>
          <w:highlight w:val="none"/>
          <w:lang w:eastAsia="zh-CN"/>
        </w:rPr>
      </w:pPr>
      <w:r>
        <w:rPr>
          <w:rFonts w:hint="eastAsia" w:ascii="仿宋_GB2312" w:eastAsia="仿宋_GB2312"/>
          <w:sz w:val="32"/>
          <w:szCs w:val="32"/>
          <w:highlight w:val="none"/>
        </w:rPr>
        <w:t>以上第（一）至第（</w:t>
      </w:r>
      <w:r>
        <w:rPr>
          <w:rFonts w:hint="eastAsia" w:ascii="仿宋_GB2312" w:eastAsia="仿宋_GB2312"/>
          <w:sz w:val="32"/>
          <w:szCs w:val="32"/>
          <w:highlight w:val="none"/>
          <w:lang w:eastAsia="zh-CN"/>
        </w:rPr>
        <w:t>五</w:t>
      </w:r>
      <w:r>
        <w:rPr>
          <w:rFonts w:hint="eastAsia" w:ascii="仿宋_GB2312" w:eastAsia="仿宋_GB2312"/>
          <w:sz w:val="32"/>
          <w:szCs w:val="32"/>
          <w:highlight w:val="none"/>
        </w:rPr>
        <w:t>）项全部申请材料应当确保页面文字、公章、签名等实质性内容清晰可辨，各页面主要内容均为正向，不可横置或倒置。</w:t>
      </w:r>
    </w:p>
    <w:p>
      <w:pPr>
        <w:pStyle w:val="6"/>
        <w:numPr>
          <w:ilvl w:val="0"/>
          <w:numId w:val="1"/>
        </w:numPr>
        <w:snapToGrid w:val="0"/>
        <w:spacing w:line="560" w:lineRule="exact"/>
        <w:ind w:left="1361" w:firstLineChars="0"/>
        <w:rPr>
          <w:rFonts w:ascii="黑体" w:hAnsi="黑体" w:eastAsia="黑体" w:cs="黑体"/>
          <w:sz w:val="32"/>
          <w:szCs w:val="32"/>
        </w:rPr>
      </w:pPr>
      <w:r>
        <w:rPr>
          <w:rFonts w:hint="eastAsia" w:ascii="黑体" w:hAnsi="黑体" w:eastAsia="黑体" w:cs="黑体"/>
          <w:sz w:val="32"/>
          <w:szCs w:val="32"/>
        </w:rPr>
        <w:t>受理事宜</w:t>
      </w:r>
    </w:p>
    <w:p>
      <w:pPr>
        <w:snapToGrid w:val="0"/>
        <w:spacing w:line="560" w:lineRule="exact"/>
        <w:ind w:firstLine="642" w:firstLineChars="200"/>
        <w:jc w:val="left"/>
        <w:rPr>
          <w:rFonts w:ascii="仿宋_GB2312" w:eastAsia="仿宋_GB2312"/>
          <w:sz w:val="32"/>
          <w:szCs w:val="32"/>
        </w:rPr>
      </w:pPr>
      <w:r>
        <w:rPr>
          <w:rFonts w:hint="eastAsia" w:ascii="楷体_GB2312" w:hAnsi="楷体_GB2312" w:eastAsia="楷体_GB2312" w:cs="楷体_GB2312"/>
          <w:b/>
          <w:bCs/>
          <w:sz w:val="32"/>
          <w:szCs w:val="32"/>
        </w:rPr>
        <w:t>（一）受理机关</w:t>
      </w:r>
      <w:r>
        <w:rPr>
          <w:rFonts w:hint="eastAsia" w:ascii="仿宋_GB2312" w:hAnsi="仿宋_GB2312" w:eastAsia="仿宋_GB2312" w:cs="仿宋_GB2312"/>
          <w:sz w:val="32"/>
          <w:szCs w:val="32"/>
        </w:rPr>
        <w:t>：</w:t>
      </w:r>
      <w:r>
        <w:rPr>
          <w:rFonts w:hint="eastAsia" w:ascii="仿宋_GB2312" w:eastAsia="仿宋_GB2312"/>
          <w:sz w:val="32"/>
          <w:szCs w:val="32"/>
        </w:rPr>
        <w:t>深圳市市场监督管理局。</w:t>
      </w:r>
    </w:p>
    <w:p>
      <w:pPr>
        <w:snapToGrid w:val="0"/>
        <w:spacing w:line="560" w:lineRule="exact"/>
        <w:ind w:firstLine="642" w:firstLineChars="200"/>
        <w:jc w:val="left"/>
        <w:rPr>
          <w:rFonts w:hint="eastAsia" w:ascii="仿宋_GB2312" w:eastAsia="仿宋_GB2312"/>
          <w:sz w:val="32"/>
          <w:szCs w:val="32"/>
          <w:lang w:eastAsia="zh-CN"/>
        </w:rPr>
      </w:pPr>
      <w:r>
        <w:rPr>
          <w:rFonts w:hint="eastAsia" w:ascii="楷体_GB2312" w:hAnsi="楷体_GB2312" w:eastAsia="楷体_GB2312" w:cs="楷体_GB2312"/>
          <w:b/>
          <w:bCs/>
          <w:sz w:val="32"/>
          <w:szCs w:val="32"/>
        </w:rPr>
        <w:t>（二）受理时间</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rPr>
        <w:t>日9:00至202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30</w:t>
      </w:r>
      <w:r>
        <w:rPr>
          <w:rFonts w:hint="eastAsia" w:ascii="仿宋_GB2312" w:hAnsi="仿宋_GB2312" w:eastAsia="仿宋_GB2312" w:cs="仿宋_GB2312"/>
          <w:color w:val="auto"/>
          <w:sz w:val="32"/>
          <w:szCs w:val="32"/>
          <w:highlight w:val="none"/>
        </w:rPr>
        <w:t>日18:00</w:t>
      </w:r>
      <w:r>
        <w:rPr>
          <w:rFonts w:hint="eastAsia" w:ascii="仿宋_GB2312" w:eastAsia="仿宋_GB2312"/>
          <w:sz w:val="32"/>
          <w:szCs w:val="32"/>
          <w:lang w:eastAsia="zh-CN"/>
        </w:rPr>
        <w:t>。</w:t>
      </w:r>
    </w:p>
    <w:p>
      <w:pPr>
        <w:snapToGrid w:val="0"/>
        <w:spacing w:line="560" w:lineRule="exact"/>
        <w:ind w:firstLine="642" w:firstLineChars="200"/>
        <w:jc w:val="left"/>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（三）申报方式</w:t>
      </w:r>
    </w:p>
    <w:p>
      <w:pPr>
        <w:numPr>
          <w:ilvl w:val="0"/>
          <w:numId w:val="0"/>
        </w:numPr>
        <w:snapToGrid w:val="0"/>
        <w:spacing w:line="560" w:lineRule="exact"/>
        <w:ind w:firstLine="640" w:firstLineChars="200"/>
        <w:rPr>
          <w:rFonts w:ascii="仿宋_GB2312" w:eastAsia="仿宋_GB2312"/>
          <w:color w:val="auto"/>
          <w:kern w:val="0"/>
          <w:sz w:val="32"/>
          <w:szCs w:val="32"/>
        </w:rPr>
      </w:pPr>
      <w:r>
        <w:rPr>
          <w:rFonts w:hint="eastAsia" w:ascii="仿宋_GB2312" w:eastAsia="仿宋_GB2312"/>
          <w:color w:val="auto"/>
          <w:sz w:val="32"/>
          <w:szCs w:val="32"/>
          <w:lang w:val="en-US" w:eastAsia="zh-CN"/>
        </w:rPr>
        <w:t>1.</w:t>
      </w:r>
      <w:r>
        <w:rPr>
          <w:rFonts w:hint="eastAsia" w:ascii="仿宋_GB2312" w:eastAsia="仿宋_GB2312"/>
          <w:color w:val="auto"/>
          <w:sz w:val="32"/>
          <w:szCs w:val="32"/>
        </w:rPr>
        <w:t>本</w:t>
      </w:r>
      <w:r>
        <w:rPr>
          <w:rFonts w:hint="eastAsia" w:ascii="仿宋_GB2312" w:eastAsia="仿宋_GB2312"/>
          <w:color w:val="auto"/>
          <w:sz w:val="32"/>
          <w:szCs w:val="32"/>
          <w:lang w:eastAsia="zh-CN"/>
        </w:rPr>
        <w:t>项目</w:t>
      </w:r>
      <w:r>
        <w:rPr>
          <w:rFonts w:hint="eastAsia" w:ascii="仿宋_GB2312" w:eastAsia="仿宋_GB2312"/>
          <w:color w:val="auto"/>
          <w:sz w:val="32"/>
          <w:szCs w:val="32"/>
        </w:rPr>
        <w:t>实行网上申报，申报</w:t>
      </w:r>
      <w:r>
        <w:rPr>
          <w:rFonts w:hint="eastAsia" w:ascii="仿宋_GB2312" w:eastAsia="仿宋_GB2312"/>
          <w:color w:val="auto"/>
          <w:sz w:val="32"/>
          <w:szCs w:val="32"/>
          <w:lang w:eastAsia="zh-CN"/>
        </w:rPr>
        <w:t>人需进入广东政务服务网</w:t>
      </w:r>
      <w:r>
        <w:rPr>
          <w:rFonts w:hint="eastAsia" w:ascii="仿宋_GB2312" w:eastAsia="仿宋_GB2312"/>
          <w:color w:val="auto"/>
          <w:kern w:val="0"/>
          <w:sz w:val="32"/>
          <w:szCs w:val="32"/>
          <w:lang w:eastAsia="zh-CN"/>
        </w:rPr>
        <w:t>（</w:t>
      </w:r>
      <w:r>
        <w:rPr>
          <w:rFonts w:hint="eastAsia" w:ascii="仿宋_GB2312" w:eastAsia="仿宋_GB2312"/>
          <w:color w:val="auto"/>
          <w:sz w:val="32"/>
          <w:szCs w:val="32"/>
          <w:highlight w:val="none"/>
          <w:lang w:eastAsia="zh-CN"/>
        </w:rPr>
        <w:t>http://wsbs.sz.gov.cn/apply/ui/MB2C927393442125181001440300，建议使用浏览器：谷歌Chrome、微软Edge、360极速浏览器）</w:t>
      </w:r>
      <w:r>
        <w:rPr>
          <w:rFonts w:hint="eastAsia" w:ascii="仿宋_GB2312" w:eastAsia="仿宋_GB2312"/>
          <w:color w:val="auto"/>
          <w:kern w:val="2"/>
          <w:sz w:val="32"/>
          <w:szCs w:val="32"/>
          <w:lang w:val="en" w:eastAsia="zh-CN"/>
        </w:rPr>
        <w:t>。登录申报系统后，在“选择办理情形”模块选择拟申报项目，选中后进入申报页面。</w:t>
      </w:r>
      <w:r>
        <w:rPr>
          <w:rFonts w:ascii="仿宋_GB2312" w:eastAsia="仿宋_GB2312"/>
          <w:color w:val="auto"/>
          <w:kern w:val="0"/>
          <w:sz w:val="32"/>
          <w:szCs w:val="32"/>
        </w:rPr>
        <w:t>将本指南要求的</w:t>
      </w:r>
      <w:r>
        <w:rPr>
          <w:rFonts w:hint="eastAsia" w:ascii="仿宋_GB2312" w:eastAsia="仿宋_GB2312"/>
          <w:color w:val="auto"/>
          <w:kern w:val="0"/>
          <w:sz w:val="32"/>
          <w:szCs w:val="32"/>
        </w:rPr>
        <w:t>全部</w:t>
      </w:r>
      <w:r>
        <w:rPr>
          <w:rFonts w:ascii="仿宋_GB2312" w:eastAsia="仿宋_GB2312"/>
          <w:color w:val="auto"/>
          <w:kern w:val="0"/>
          <w:sz w:val="32"/>
          <w:szCs w:val="32"/>
        </w:rPr>
        <w:t>申</w:t>
      </w:r>
      <w:r>
        <w:rPr>
          <w:rFonts w:hint="eastAsia" w:ascii="仿宋_GB2312" w:eastAsia="仿宋_GB2312"/>
          <w:color w:val="auto"/>
          <w:kern w:val="0"/>
          <w:sz w:val="32"/>
          <w:szCs w:val="32"/>
        </w:rPr>
        <w:t>请</w:t>
      </w:r>
      <w:r>
        <w:rPr>
          <w:rFonts w:ascii="仿宋_GB2312" w:eastAsia="仿宋_GB2312"/>
          <w:color w:val="auto"/>
          <w:kern w:val="0"/>
          <w:sz w:val="32"/>
          <w:szCs w:val="32"/>
        </w:rPr>
        <w:t>材料按照申报系统中的</w:t>
      </w:r>
      <w:r>
        <w:rPr>
          <w:rFonts w:hint="eastAsia" w:ascii="仿宋_GB2312" w:eastAsia="仿宋_GB2312"/>
          <w:color w:val="auto"/>
          <w:kern w:val="0"/>
          <w:sz w:val="32"/>
          <w:szCs w:val="32"/>
        </w:rPr>
        <w:t>有关</w:t>
      </w:r>
      <w:r>
        <w:rPr>
          <w:rFonts w:ascii="仿宋_GB2312" w:eastAsia="仿宋_GB2312"/>
          <w:color w:val="auto"/>
          <w:kern w:val="0"/>
          <w:sz w:val="32"/>
          <w:szCs w:val="32"/>
        </w:rPr>
        <w:t>提示要求</w:t>
      </w:r>
      <w:r>
        <w:rPr>
          <w:rFonts w:hint="eastAsia" w:ascii="仿宋_GB2312" w:eastAsia="仿宋_GB2312"/>
          <w:color w:val="auto"/>
          <w:kern w:val="0"/>
          <w:sz w:val="32"/>
          <w:szCs w:val="32"/>
        </w:rPr>
        <w:t>分别</w:t>
      </w:r>
      <w:r>
        <w:rPr>
          <w:rFonts w:ascii="仿宋_GB2312" w:eastAsia="仿宋_GB2312"/>
          <w:color w:val="auto"/>
          <w:kern w:val="0"/>
          <w:sz w:val="32"/>
          <w:szCs w:val="32"/>
        </w:rPr>
        <w:t>上传。</w:t>
      </w:r>
    </w:p>
    <w:p>
      <w:pPr>
        <w:numPr>
          <w:ilvl w:val="0"/>
          <w:numId w:val="0"/>
        </w:numPr>
        <w:snapToGrid w:val="0"/>
        <w:spacing w:line="560" w:lineRule="exact"/>
        <w:ind w:firstLine="640" w:firstLineChars="200"/>
        <w:rPr>
          <w:rFonts w:hint="eastAsia" w:ascii="仿宋_GB2312" w:eastAsia="仿宋_GB2312"/>
          <w:color w:val="auto"/>
          <w:sz w:val="32"/>
          <w:szCs w:val="32"/>
          <w:lang w:val="en-US" w:eastAsia="zh-CN"/>
        </w:rPr>
      </w:pPr>
      <w:r>
        <w:rPr>
          <w:rFonts w:hint="eastAsia" w:ascii="仿宋_GB2312" w:eastAsia="仿宋_GB2312"/>
          <w:color w:val="auto"/>
          <w:kern w:val="0"/>
          <w:sz w:val="32"/>
          <w:szCs w:val="32"/>
        </w:rPr>
        <w:t>广东政务服务网已与深圳市财政专项资金统一管理平台</w:t>
      </w:r>
      <w:r>
        <w:rPr>
          <w:rFonts w:hint="eastAsia" w:ascii="仿宋_GB2312" w:eastAsia="仿宋_GB2312"/>
          <w:color w:val="auto"/>
          <w:kern w:val="0"/>
          <w:sz w:val="32"/>
          <w:szCs w:val="32"/>
          <w:lang w:eastAsia="zh-CN"/>
        </w:rPr>
        <w:t>（</w:t>
      </w:r>
      <w:r>
        <w:rPr>
          <w:rFonts w:hint="eastAsia" w:ascii="仿宋_GB2312" w:eastAsia="仿宋_GB2312"/>
          <w:color w:val="auto"/>
          <w:kern w:val="0"/>
          <w:sz w:val="32"/>
          <w:szCs w:val="32"/>
        </w:rPr>
        <w:t>https://cqt.szfb.sz.gov.cn/#/home</w:t>
      </w:r>
      <w:r>
        <w:rPr>
          <w:rFonts w:hint="eastAsia" w:ascii="仿宋_GB2312" w:eastAsia="仿宋_GB2312"/>
          <w:color w:val="auto"/>
          <w:kern w:val="0"/>
          <w:sz w:val="32"/>
          <w:szCs w:val="32"/>
          <w:lang w:eastAsia="zh-CN"/>
        </w:rPr>
        <w:t>）实现</w:t>
      </w:r>
      <w:r>
        <w:rPr>
          <w:rFonts w:hint="eastAsia" w:ascii="仿宋_GB2312" w:eastAsia="仿宋_GB2312"/>
          <w:color w:val="auto"/>
          <w:kern w:val="0"/>
          <w:sz w:val="32"/>
          <w:szCs w:val="32"/>
        </w:rPr>
        <w:t>信息对接，申请人可使用广东政务服务网账户密码登录深圳市财政专项资金统一管理平台，在</w:t>
      </w:r>
      <w:r>
        <w:rPr>
          <w:rFonts w:hint="eastAsia" w:ascii="仿宋_GB2312" w:eastAsia="仿宋_GB2312"/>
          <w:color w:val="auto"/>
          <w:kern w:val="0"/>
          <w:sz w:val="32"/>
          <w:szCs w:val="32"/>
          <w:lang w:eastAsia="zh-CN"/>
        </w:rPr>
        <w:t>该平台进行材料补正及审批进度查询</w:t>
      </w:r>
      <w:r>
        <w:rPr>
          <w:rFonts w:hint="eastAsia" w:ascii="仿宋_GB2312" w:eastAsia="仿宋_GB2312"/>
          <w:color w:val="auto"/>
          <w:kern w:val="0"/>
          <w:sz w:val="32"/>
          <w:szCs w:val="32"/>
        </w:rPr>
        <w:t>。</w:t>
      </w:r>
    </w:p>
    <w:p>
      <w:pPr>
        <w:snapToGrid w:val="0"/>
        <w:spacing w:line="560" w:lineRule="exact"/>
        <w:ind w:firstLine="640" w:firstLineChars="200"/>
        <w:jc w:val="both"/>
        <w:rPr>
          <w:rFonts w:hint="eastAsia" w:ascii="仿宋_GB2312" w:eastAsia="仿宋_GB2312"/>
          <w:color w:val="auto"/>
          <w:sz w:val="32"/>
          <w:szCs w:val="32"/>
        </w:rPr>
      </w:pPr>
      <w:r>
        <w:rPr>
          <w:rFonts w:hint="eastAsia" w:ascii="仿宋_GB2312" w:eastAsia="仿宋_GB2312"/>
          <w:color w:val="auto"/>
          <w:sz w:val="32"/>
          <w:szCs w:val="32"/>
          <w:lang w:val="en-US" w:eastAsia="zh-CN"/>
        </w:rPr>
        <w:t>2.</w:t>
      </w:r>
      <w:r>
        <w:rPr>
          <w:rFonts w:hint="eastAsia" w:ascii="仿宋_GB2312" w:eastAsia="仿宋_GB2312"/>
          <w:color w:val="auto"/>
          <w:sz w:val="32"/>
          <w:szCs w:val="32"/>
        </w:rPr>
        <w:t>申报系统技术支持电话</w:t>
      </w:r>
    </w:p>
    <w:p>
      <w:pPr>
        <w:snapToGrid w:val="0"/>
        <w:spacing w:line="560" w:lineRule="exact"/>
        <w:ind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 w:eastAsia="zh-CN"/>
        </w:rPr>
        <w:t>（</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en" w:eastAsia="zh-CN"/>
        </w:rPr>
        <w:t>）申报系统账号登录异常及五级（原</w:t>
      </w:r>
      <w:r>
        <w:rPr>
          <w:rFonts w:hint="eastAsia" w:ascii="仿宋_GB2312" w:hAnsi="仿宋_GB2312" w:eastAsia="仿宋_GB2312" w:cs="仿宋_GB2312"/>
          <w:color w:val="auto"/>
          <w:sz w:val="32"/>
          <w:szCs w:val="32"/>
          <w:lang w:val="en-US" w:eastAsia="zh-CN"/>
        </w:rPr>
        <w:t>L3</w:t>
      </w:r>
      <w:r>
        <w:rPr>
          <w:rFonts w:hint="eastAsia" w:ascii="仿宋_GB2312" w:hAnsi="仿宋_GB2312" w:eastAsia="仿宋_GB2312" w:cs="仿宋_GB2312"/>
          <w:color w:val="auto"/>
          <w:sz w:val="32"/>
          <w:szCs w:val="32"/>
          <w:lang w:val="en" w:eastAsia="zh-CN"/>
        </w:rPr>
        <w:t>）实名核验问题（广东政务服务网）：</w:t>
      </w:r>
      <w:r>
        <w:rPr>
          <w:rFonts w:hint="eastAsia" w:ascii="仿宋_GB2312" w:hAnsi="仿宋_GB2312" w:eastAsia="仿宋_GB2312" w:cs="仿宋_GB2312"/>
          <w:color w:val="auto"/>
          <w:sz w:val="32"/>
          <w:szCs w:val="32"/>
          <w:lang w:val="en-US" w:eastAsia="zh-CN"/>
        </w:rPr>
        <w:t>020-29859688-68016；</w:t>
      </w:r>
    </w:p>
    <w:p>
      <w:pPr>
        <w:snapToGrid w:val="0"/>
        <w:spacing w:line="56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 w:eastAsia="zh-CN"/>
        </w:rPr>
        <w:t>（</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val="en" w:eastAsia="zh-CN"/>
        </w:rPr>
        <w:t>）审批进度、材料补正（深圳市财政专项资金统一管理平台）：</w:t>
      </w:r>
      <w:r>
        <w:rPr>
          <w:rFonts w:hint="eastAsia" w:ascii="仿宋_GB2312" w:hAnsi="仿宋_GB2312" w:eastAsia="仿宋_GB2312" w:cs="仿宋_GB2312"/>
          <w:color w:val="auto"/>
          <w:sz w:val="32"/>
          <w:szCs w:val="32"/>
          <w:lang w:val="en-US" w:eastAsia="zh-CN"/>
        </w:rPr>
        <w:t>0755-27038037</w:t>
      </w:r>
      <w:r>
        <w:rPr>
          <w:rFonts w:hint="eastAsia" w:ascii="仿宋_GB2312" w:hAnsi="仿宋_GB2312" w:eastAsia="仿宋_GB2312" w:cs="仿宋_GB2312"/>
          <w:color w:val="auto"/>
          <w:sz w:val="32"/>
          <w:szCs w:val="32"/>
        </w:rPr>
        <w:t>。</w:t>
      </w:r>
    </w:p>
    <w:p>
      <w:pPr>
        <w:snapToGrid w:val="0"/>
        <w:spacing w:line="56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 w:eastAsia="zh-CN"/>
        </w:rPr>
        <w:t>（</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val="en" w:eastAsia="zh-CN"/>
        </w:rPr>
        <w:t>）材料补正及查看审批进度（深圳市财政专项资金统一管理平台）：</w:t>
      </w:r>
      <w:r>
        <w:rPr>
          <w:rFonts w:hint="eastAsia" w:ascii="仿宋_GB2312" w:hAnsi="仿宋_GB2312" w:eastAsia="仿宋_GB2312" w:cs="仿宋_GB2312"/>
          <w:color w:val="auto"/>
          <w:sz w:val="32"/>
          <w:szCs w:val="32"/>
          <w:lang w:val="en-US" w:eastAsia="zh-CN"/>
        </w:rPr>
        <w:t>0755-27038037</w:t>
      </w:r>
      <w:r>
        <w:rPr>
          <w:rFonts w:hint="eastAsia" w:ascii="仿宋_GB2312" w:hAnsi="仿宋_GB2312" w:eastAsia="仿宋_GB2312" w:cs="仿宋_GB2312"/>
          <w:color w:val="auto"/>
          <w:sz w:val="32"/>
          <w:szCs w:val="32"/>
        </w:rPr>
        <w:t>。</w:t>
      </w:r>
    </w:p>
    <w:p>
      <w:pPr>
        <w:snapToGrid w:val="0"/>
        <w:spacing w:line="560" w:lineRule="exact"/>
        <w:ind w:firstLine="640" w:firstLineChars="200"/>
        <w:jc w:val="both"/>
        <w:rPr>
          <w:rFonts w:hint="eastAsia" w:ascii="仿宋_GB2312" w:hAnsi="仿宋_GB2312" w:eastAsia="仿宋_GB2312" w:cs="仿宋_GB2312"/>
          <w:color w:val="auto"/>
          <w:sz w:val="32"/>
          <w:szCs w:val="32"/>
        </w:rPr>
      </w:pP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4</w:t>
      </w:r>
      <w:r>
        <w:rPr>
          <w:rFonts w:hint="eastAsia" w:ascii="仿宋_GB2312" w:eastAsia="仿宋_GB2312"/>
          <w:color w:val="auto"/>
          <w:sz w:val="32"/>
          <w:szCs w:val="32"/>
          <w:lang w:eastAsia="zh-CN"/>
        </w:rPr>
        <w:t>）</w:t>
      </w:r>
      <w:r>
        <w:rPr>
          <w:rFonts w:hint="eastAsia" w:ascii="仿宋_GB2312" w:eastAsia="仿宋_GB2312"/>
          <w:color w:val="auto"/>
          <w:sz w:val="32"/>
          <w:szCs w:val="32"/>
        </w:rPr>
        <w:t>申报业务</w:t>
      </w:r>
      <w:r>
        <w:rPr>
          <w:rFonts w:hint="eastAsia" w:ascii="仿宋_GB2312" w:eastAsia="仿宋_GB2312"/>
          <w:color w:val="auto"/>
          <w:sz w:val="32"/>
          <w:szCs w:val="32"/>
          <w:lang w:eastAsia="zh-CN"/>
        </w:rPr>
        <w:t>及材料要求</w:t>
      </w:r>
      <w:r>
        <w:rPr>
          <w:rFonts w:hint="eastAsia" w:ascii="仿宋_GB2312" w:eastAsia="仿宋_GB2312"/>
          <w:color w:val="auto"/>
          <w:sz w:val="32"/>
          <w:szCs w:val="32"/>
        </w:rPr>
        <w:t>咨询电话</w:t>
      </w:r>
      <w:r>
        <w:rPr>
          <w:rFonts w:hint="eastAsia" w:ascii="仿宋_GB2312" w:hAnsi="仿宋_GB2312" w:eastAsia="仿宋_GB2312" w:cs="仿宋_GB2312"/>
          <w:color w:val="auto"/>
          <w:sz w:val="32"/>
          <w:szCs w:val="32"/>
        </w:rPr>
        <w:t>：</w:t>
      </w:r>
      <w:r>
        <w:rPr>
          <w:rFonts w:hint="default" w:ascii="仿宋_GB2312" w:hAnsi="仿宋_GB2312" w:eastAsia="仿宋_GB2312" w:cs="仿宋_GB2312"/>
          <w:color w:val="auto"/>
          <w:sz w:val="32"/>
          <w:szCs w:val="32"/>
          <w:lang w:val="en"/>
        </w:rPr>
        <w:t>0755-83070752</w:t>
      </w:r>
      <w:r>
        <w:rPr>
          <w:rFonts w:hint="eastAsia" w:ascii="仿宋_GB2312" w:hAnsi="仿宋_GB2312" w:eastAsia="仿宋_GB2312" w:cs="仿宋_GB2312"/>
          <w:color w:val="auto"/>
          <w:sz w:val="32"/>
          <w:szCs w:val="32"/>
        </w:rPr>
        <w:t>。</w:t>
      </w:r>
    </w:p>
    <w:p>
      <w:pPr>
        <w:pStyle w:val="6"/>
        <w:numPr>
          <w:ilvl w:val="0"/>
          <w:numId w:val="0"/>
        </w:numPr>
        <w:snapToGrid w:val="0"/>
        <w:spacing w:line="560" w:lineRule="exact"/>
        <w:ind w:firstLine="640" w:firstLineChars="200"/>
        <w:rPr>
          <w:rFonts w:ascii="黑体" w:hAnsi="黑体" w:eastAsia="黑体" w:cs="黑体"/>
          <w:sz w:val="32"/>
          <w:szCs w:val="32"/>
        </w:rPr>
      </w:pPr>
      <w:r>
        <w:rPr>
          <w:rFonts w:hint="eastAsia" w:ascii="仿宋_GB2312" w:eastAsia="仿宋_GB2312"/>
          <w:color w:val="auto"/>
          <w:sz w:val="32"/>
          <w:szCs w:val="32"/>
          <w:lang w:val="en-US" w:eastAsia="zh-CN"/>
        </w:rPr>
        <w:t>3.</w:t>
      </w:r>
      <w:r>
        <w:rPr>
          <w:rFonts w:hint="eastAsia" w:ascii="仿宋_GB2312" w:eastAsia="仿宋_GB2312"/>
          <w:color w:val="auto"/>
          <w:sz w:val="32"/>
          <w:szCs w:val="32"/>
        </w:rPr>
        <w:t>办公时间：星期一至星期五（法定节假日除外）上午09:00-12:00，下午14:00-18:00</w:t>
      </w:r>
      <w:r>
        <w:rPr>
          <w:rFonts w:hint="eastAsia" w:ascii="仿宋_GB2312" w:eastAsia="仿宋_GB2312"/>
          <w:sz w:val="32"/>
          <w:szCs w:val="32"/>
        </w:rPr>
        <w:t>。</w:t>
      </w:r>
    </w:p>
    <w:p>
      <w:pPr>
        <w:pStyle w:val="6"/>
        <w:numPr>
          <w:ilvl w:val="0"/>
          <w:numId w:val="1"/>
        </w:numPr>
        <w:snapToGrid w:val="0"/>
        <w:spacing w:line="560" w:lineRule="exact"/>
        <w:ind w:left="1361" w:firstLineChars="0"/>
        <w:rPr>
          <w:rFonts w:ascii="黑体" w:hAnsi="黑体" w:eastAsia="黑体" w:cs="黑体"/>
          <w:sz w:val="32"/>
          <w:szCs w:val="32"/>
        </w:rPr>
      </w:pPr>
      <w:r>
        <w:rPr>
          <w:rFonts w:hint="eastAsia" w:ascii="黑体" w:hAnsi="黑体" w:eastAsia="黑体" w:cs="黑体"/>
          <w:sz w:val="32"/>
          <w:szCs w:val="32"/>
        </w:rPr>
        <w:t>决定机关</w:t>
      </w:r>
    </w:p>
    <w:p>
      <w:pPr>
        <w:snapToGrid w:val="0"/>
        <w:spacing w:line="560" w:lineRule="exact"/>
        <w:ind w:firstLine="640" w:firstLineChars="200"/>
        <w:jc w:val="left"/>
        <w:rPr>
          <w:rFonts w:ascii="仿宋_GB2312" w:eastAsia="仿宋_GB2312"/>
          <w:sz w:val="32"/>
          <w:szCs w:val="32"/>
        </w:rPr>
      </w:pPr>
      <w:r>
        <w:rPr>
          <w:rFonts w:hint="eastAsia" w:ascii="仿宋_GB2312" w:eastAsia="仿宋_GB2312"/>
          <w:sz w:val="32"/>
          <w:szCs w:val="32"/>
        </w:rPr>
        <w:t>深圳市市场监督管理局</w:t>
      </w:r>
    </w:p>
    <w:p>
      <w:pPr>
        <w:pStyle w:val="6"/>
        <w:numPr>
          <w:ilvl w:val="0"/>
          <w:numId w:val="1"/>
        </w:numPr>
        <w:snapToGrid w:val="0"/>
        <w:spacing w:line="560" w:lineRule="exact"/>
        <w:ind w:left="1361" w:firstLineChars="0"/>
        <w:rPr>
          <w:rFonts w:ascii="黑体" w:hAnsi="黑体" w:eastAsia="黑体" w:cs="黑体"/>
          <w:sz w:val="32"/>
          <w:szCs w:val="32"/>
        </w:rPr>
      </w:pPr>
      <w:r>
        <w:rPr>
          <w:rFonts w:hint="eastAsia" w:ascii="黑体" w:hAnsi="黑体" w:eastAsia="黑体" w:cs="黑体"/>
          <w:sz w:val="32"/>
          <w:szCs w:val="32"/>
        </w:rPr>
        <w:t>办理程序与注意事项</w:t>
      </w:r>
    </w:p>
    <w:p>
      <w:pPr>
        <w:snapToGrid w:val="0"/>
        <w:spacing w:line="560" w:lineRule="exact"/>
        <w:ind w:firstLine="642" w:firstLineChars="200"/>
        <w:jc w:val="left"/>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（一）办理程序</w:t>
      </w:r>
    </w:p>
    <w:p>
      <w:pPr>
        <w:numPr>
          <w:ilvl w:val="0"/>
          <w:numId w:val="0"/>
        </w:numPr>
        <w:snapToGrid w:val="0"/>
        <w:spacing w:line="560" w:lineRule="exact"/>
        <w:ind w:firstLine="640" w:firstLineChars="200"/>
        <w:rPr>
          <w:rFonts w:ascii="仿宋_GB2312" w:eastAsia="仿宋_GB2312"/>
          <w:sz w:val="32"/>
          <w:highlight w:val="none"/>
        </w:rPr>
      </w:pPr>
      <w:r>
        <w:rPr>
          <w:rFonts w:hint="eastAsia" w:ascii="仿宋_GB2312" w:eastAsia="仿宋_GB2312"/>
          <w:sz w:val="32"/>
          <w:highlight w:val="none"/>
        </w:rPr>
        <w:t>市市场监管局发布年度申报指南（通知）——申请人网上申报（通过申报系统在线提交电子申请材料）——市市场监管局受理初审（含可能发生的补正程序）——专家评审——审计——</w:t>
      </w:r>
      <w:r>
        <w:rPr>
          <w:rFonts w:hint="default" w:ascii="仿宋_GB2312" w:eastAsia="仿宋_GB2312"/>
          <w:sz w:val="32"/>
          <w:highlight w:val="none"/>
        </w:rPr>
        <w:t>会同</w:t>
      </w:r>
      <w:r>
        <w:rPr>
          <w:rFonts w:hint="eastAsia" w:ascii="仿宋_GB2312" w:eastAsia="仿宋_GB2312"/>
          <w:sz w:val="32"/>
          <w:highlight w:val="none"/>
        </w:rPr>
        <w:t>相关部门核对数据、核查诚信情况</w:t>
      </w:r>
      <w:r>
        <w:rPr>
          <w:rFonts w:hint="default" w:ascii="仿宋_GB2312" w:eastAsia="仿宋_GB2312"/>
          <w:sz w:val="32"/>
          <w:highlight w:val="none"/>
        </w:rPr>
        <w:t>和重复资助情况</w:t>
      </w:r>
      <w:r>
        <w:rPr>
          <w:rFonts w:hint="eastAsia" w:ascii="仿宋_GB2312" w:eastAsia="仿宋_GB2312"/>
          <w:sz w:val="32"/>
          <w:highlight w:val="none"/>
        </w:rPr>
        <w:t>——</w:t>
      </w:r>
      <w:r>
        <w:rPr>
          <w:rFonts w:hint="eastAsia" w:ascii="仿宋_GB2312" w:hAnsi="仿宋_GB2312" w:eastAsia="仿宋_GB2312" w:cs="仿宋_GB2312"/>
          <w:sz w:val="32"/>
          <w:szCs w:val="32"/>
          <w:highlight w:val="none"/>
        </w:rPr>
        <w:t>集体研究决策</w:t>
      </w:r>
      <w:r>
        <w:rPr>
          <w:rFonts w:hint="eastAsia" w:ascii="仿宋_GB2312" w:eastAsia="仿宋_GB2312"/>
          <w:sz w:val="32"/>
          <w:highlight w:val="none"/>
        </w:rPr>
        <w:t>——公示（</w:t>
      </w:r>
      <w:r>
        <w:rPr>
          <w:rFonts w:ascii="仿宋_GB2312" w:eastAsia="仿宋_GB2312"/>
          <w:sz w:val="32"/>
          <w:highlight w:val="none"/>
        </w:rPr>
        <w:t>5个工作日）</w:t>
      </w:r>
      <w:r>
        <w:rPr>
          <w:rFonts w:hint="eastAsia" w:ascii="仿宋_GB2312" w:eastAsia="仿宋_GB2312"/>
          <w:sz w:val="32"/>
          <w:highlight w:val="none"/>
        </w:rPr>
        <w:t>——财政资金预算申请</w:t>
      </w:r>
      <w:r>
        <w:rPr>
          <w:rFonts w:hint="eastAsia" w:ascii="仿宋_GB2312" w:eastAsia="仿宋_GB2312"/>
          <w:sz w:val="32"/>
          <w:highlight w:val="none"/>
          <w:lang w:eastAsia="zh-CN"/>
        </w:rPr>
        <w:t>——</w:t>
      </w:r>
      <w:r>
        <w:rPr>
          <w:rFonts w:hint="eastAsia" w:ascii="仿宋_GB2312" w:eastAsia="仿宋_GB2312"/>
          <w:sz w:val="32"/>
          <w:highlight w:val="none"/>
        </w:rPr>
        <w:t>资金拨付。</w:t>
      </w:r>
    </w:p>
    <w:p>
      <w:pPr>
        <w:snapToGrid w:val="0"/>
        <w:spacing w:line="560" w:lineRule="exact"/>
        <w:ind w:firstLine="642" w:firstLineChars="200"/>
        <w:jc w:val="left"/>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（二）注意事项</w:t>
      </w:r>
    </w:p>
    <w:p>
      <w:pPr>
        <w:pStyle w:val="3"/>
        <w:snapToGrid w:val="0"/>
        <w:spacing w:before="0" w:beforeAutospacing="0" w:after="0" w:afterAutospacing="0" w:line="560" w:lineRule="exact"/>
        <w:ind w:firstLine="640" w:firstLineChars="200"/>
        <w:jc w:val="both"/>
        <w:rPr>
          <w:rFonts w:hint="default" w:ascii="仿宋_GB2312" w:hAnsi="仿宋_GB2312" w:eastAsia="仿宋_GB2312" w:cs="仿宋_GB2312"/>
          <w:b w:val="0"/>
          <w:sz w:val="32"/>
          <w:szCs w:val="32"/>
        </w:rPr>
      </w:pPr>
      <w:r>
        <w:rPr>
          <w:rFonts w:ascii="仿宋_GB2312" w:hAnsi="仿宋_GB2312" w:eastAsia="仿宋_GB2312" w:cs="仿宋_GB2312"/>
          <w:b w:val="0"/>
          <w:sz w:val="32"/>
          <w:szCs w:val="32"/>
        </w:rPr>
        <w:t>1．</w:t>
      </w:r>
      <w:r>
        <w:rPr>
          <w:rFonts w:hint="eastAsia" w:ascii="仿宋_GB2312" w:eastAsia="仿宋_GB2312"/>
          <w:b/>
          <w:bCs w:val="0"/>
          <w:sz w:val="32"/>
          <w:szCs w:val="32"/>
          <w:highlight w:val="none"/>
        </w:rPr>
        <w:t>申请人</w:t>
      </w:r>
      <w:r>
        <w:rPr>
          <w:rFonts w:hint="eastAsia" w:ascii="仿宋_GB2312" w:eastAsia="仿宋_GB2312"/>
          <w:b/>
          <w:bCs w:val="0"/>
          <w:sz w:val="32"/>
          <w:szCs w:val="32"/>
          <w:highlight w:val="none"/>
          <w:lang w:eastAsia="zh-CN"/>
        </w:rPr>
        <w:t>应为正常经营状态，并通过上述申报平台自行申报。</w:t>
      </w:r>
      <w:r>
        <w:rPr>
          <w:rFonts w:hint="eastAsia" w:ascii="仿宋_GB2312" w:eastAsia="仿宋_GB2312"/>
          <w:b w:val="0"/>
          <w:bCs/>
          <w:sz w:val="32"/>
          <w:szCs w:val="32"/>
        </w:rPr>
        <w:t>申请人广东政务服务网账户等级须达到五级（原L3级别）核验方可进行申报</w:t>
      </w:r>
      <w:r>
        <w:rPr>
          <w:rFonts w:ascii="仿宋_GB2312" w:hAnsi="仿宋_GB2312" w:eastAsia="仿宋_GB2312" w:cs="仿宋_GB2312"/>
          <w:b w:val="0"/>
          <w:sz w:val="32"/>
          <w:szCs w:val="32"/>
        </w:rPr>
        <w:t>。</w:t>
      </w:r>
      <w:r>
        <w:rPr>
          <w:rFonts w:hint="eastAsia" w:ascii="仿宋_GB2312" w:hAnsi="仿宋_GB2312" w:eastAsia="仿宋_GB2312" w:cs="仿宋_GB2312"/>
          <w:b w:val="0"/>
          <w:sz w:val="32"/>
          <w:szCs w:val="32"/>
        </w:rPr>
        <w:t>申请人名称与其银行开户名称必须完全一致，否则将影响资助申请审核结果及办理资金发放，相应后果由申请人自行承担。</w:t>
      </w:r>
    </w:p>
    <w:p>
      <w:pPr>
        <w:numPr>
          <w:ilvl w:val="0"/>
          <w:numId w:val="0"/>
        </w:numPr>
        <w:snapToGrid w:val="0"/>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w:t>
      </w:r>
      <w:r>
        <w:rPr>
          <w:rFonts w:ascii="仿宋_GB2312" w:hAnsi="仿宋_GB2312" w:eastAsia="仿宋_GB2312" w:cs="仿宋_GB2312"/>
          <w:b/>
          <w:sz w:val="32"/>
          <w:szCs w:val="32"/>
        </w:rPr>
        <w:t>．</w:t>
      </w:r>
      <w:r>
        <w:rPr>
          <w:rFonts w:hint="eastAsia" w:ascii="仿宋_GB2312" w:eastAsia="仿宋_GB2312"/>
          <w:sz w:val="32"/>
          <w:szCs w:val="32"/>
        </w:rPr>
        <w:t>严格按照申报系统有关提示进行填报</w:t>
      </w:r>
      <w:r>
        <w:rPr>
          <w:rFonts w:hint="eastAsia" w:ascii="仿宋_GB2312" w:eastAsia="仿宋_GB2312"/>
          <w:sz w:val="32"/>
          <w:szCs w:val="32"/>
          <w:lang w:eastAsia="zh-CN"/>
        </w:rPr>
        <w:t>，</w:t>
      </w:r>
      <w:r>
        <w:rPr>
          <w:rFonts w:hint="eastAsia" w:ascii="仿宋_GB2312" w:hAnsi="仿宋_GB2312" w:eastAsia="仿宋_GB2312" w:cs="仿宋_GB2312"/>
          <w:sz w:val="32"/>
          <w:szCs w:val="32"/>
          <w:lang w:eastAsia="zh-CN"/>
        </w:rPr>
        <w:t>深圳</w:t>
      </w:r>
      <w:r>
        <w:rPr>
          <w:rFonts w:hint="eastAsia" w:ascii="仿宋_GB2312" w:hAnsi="仿宋_GB2312" w:eastAsia="仿宋_GB2312" w:cs="仿宋_GB2312"/>
          <w:sz w:val="32"/>
          <w:szCs w:val="32"/>
        </w:rPr>
        <w:t>市知识产权主管部门对申请材料进行受理和初审，申请材料不完善</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，限期予以补正；申请人应按要求进行补正，未按要求补正材料或补正材料未通过审核的，不予资助或奖励</w:t>
      </w:r>
      <w:r>
        <w:rPr>
          <w:rFonts w:hint="eastAsia" w:ascii="仿宋_GB2312" w:hAnsi="仿宋_GB2312" w:eastAsia="仿宋_GB2312" w:cs="仿宋_GB2312"/>
          <w:sz w:val="32"/>
          <w:szCs w:val="32"/>
          <w:lang w:eastAsia="zh-CN"/>
        </w:rPr>
        <w:t>。</w:t>
      </w:r>
    </w:p>
    <w:p>
      <w:pPr>
        <w:numPr>
          <w:ilvl w:val="0"/>
          <w:numId w:val="0"/>
        </w:numPr>
        <w:snapToGrid w:val="0"/>
        <w:spacing w:line="560" w:lineRule="exact"/>
        <w:ind w:firstLine="640" w:firstLineChars="200"/>
        <w:rPr>
          <w:rFonts w:hint="eastAsia" w:ascii="仿宋_GB2312" w:eastAsia="仿宋_GB2312"/>
          <w:sz w:val="32"/>
          <w:szCs w:val="32"/>
        </w:rPr>
      </w:pPr>
      <w:r>
        <w:rPr>
          <w:rFonts w:hint="eastAsia" w:ascii="仿宋_GB2312" w:hAnsi="仿宋_GB2312" w:eastAsia="仿宋_GB2312" w:cs="仿宋_GB2312"/>
          <w:sz w:val="32"/>
          <w:szCs w:val="32"/>
          <w:lang w:val="en-US" w:eastAsia="zh-CN"/>
        </w:rPr>
        <w:t>3.</w:t>
      </w:r>
      <w:r>
        <w:rPr>
          <w:rFonts w:ascii="仿宋_GB2312" w:eastAsia="仿宋_GB2312"/>
          <w:sz w:val="32"/>
          <w:szCs w:val="32"/>
        </w:rPr>
        <w:t>申请人提交</w:t>
      </w:r>
      <w:r>
        <w:rPr>
          <w:rFonts w:hint="eastAsia" w:ascii="仿宋_GB2312" w:hAnsi="仿宋_GB2312" w:eastAsia="仿宋_GB2312" w:cs="仿宋_GB2312"/>
          <w:sz w:val="32"/>
          <w:szCs w:val="32"/>
        </w:rPr>
        <w:t>资助或奖励</w:t>
      </w:r>
      <w:r>
        <w:rPr>
          <w:rFonts w:ascii="仿宋_GB2312" w:eastAsia="仿宋_GB2312"/>
          <w:sz w:val="32"/>
          <w:szCs w:val="32"/>
        </w:rPr>
        <w:t>申请后，可通过</w:t>
      </w:r>
      <w:r>
        <w:rPr>
          <w:rFonts w:hint="eastAsia" w:ascii="仿宋_GB2312" w:eastAsia="仿宋_GB2312"/>
          <w:sz w:val="32"/>
          <w:szCs w:val="32"/>
        </w:rPr>
        <w:t>申报</w:t>
      </w:r>
      <w:r>
        <w:rPr>
          <w:rFonts w:ascii="仿宋_GB2312" w:eastAsia="仿宋_GB2312"/>
          <w:sz w:val="32"/>
          <w:szCs w:val="32"/>
        </w:rPr>
        <w:t>系统自行查询办理进度状态，</w:t>
      </w:r>
      <w:r>
        <w:rPr>
          <w:rFonts w:hint="eastAsia" w:ascii="仿宋_GB2312" w:eastAsia="仿宋_GB2312"/>
          <w:sz w:val="32"/>
          <w:szCs w:val="32"/>
        </w:rPr>
        <w:t>及时关注系统审批意见，</w:t>
      </w:r>
      <w:r>
        <w:rPr>
          <w:rFonts w:ascii="仿宋_GB2312" w:eastAsia="仿宋_GB2312"/>
          <w:sz w:val="32"/>
          <w:szCs w:val="32"/>
        </w:rPr>
        <w:t>根据系统提示信息及时办理有关手续。</w:t>
      </w:r>
      <w:r>
        <w:rPr>
          <w:rFonts w:hint="eastAsia" w:ascii="仿宋_GB2312" w:eastAsia="仿宋_GB2312"/>
          <w:sz w:val="32"/>
          <w:szCs w:val="32"/>
        </w:rPr>
        <w:t>本资助申请事项不设短信、电话和邮件等形式的通知推送。</w:t>
      </w:r>
    </w:p>
    <w:p>
      <w:pPr>
        <w:numPr>
          <w:ilvl w:val="0"/>
          <w:numId w:val="0"/>
        </w:numPr>
        <w:snapToGrid w:val="0"/>
        <w:spacing w:line="560" w:lineRule="exact"/>
        <w:ind w:firstLine="640" w:firstLineChars="200"/>
        <w:rPr>
          <w:rFonts w:ascii="仿宋_GB2312" w:hAnsi="仿宋_GB2312" w:eastAsia="仿宋_GB2312" w:cs="仿宋_GB2312"/>
          <w:b/>
          <w:sz w:val="32"/>
          <w:szCs w:val="32"/>
        </w:rPr>
      </w:pPr>
      <w:r>
        <w:rPr>
          <w:rFonts w:hint="eastAsia" w:ascii="仿宋_GB2312" w:eastAsia="仿宋_GB2312"/>
          <w:sz w:val="32"/>
          <w:szCs w:val="32"/>
          <w:lang w:val="en-US" w:eastAsia="zh-CN"/>
        </w:rPr>
        <w:t>4.</w:t>
      </w:r>
      <w:r>
        <w:rPr>
          <w:rFonts w:hint="eastAsia" w:ascii="仿宋_GB2312" w:hAnsi="仿宋_GB2312" w:eastAsia="仿宋_GB2312" w:cs="仿宋_GB2312"/>
          <w:sz w:val="32"/>
          <w:szCs w:val="32"/>
        </w:rPr>
        <w:t>本年度受理的专项资金项目资助发放时间及金额将根据市财政预算实际下达情况而定。项目经审核后应资助(奖励)总金额超出对应项目年度预算上限的，按照对应预算金额除以应资助(奖励)总金额的比例进行折算，以此确定实际资助(奖励)金额。</w:t>
      </w:r>
    </w:p>
    <w:p>
      <w:pPr>
        <w:pStyle w:val="6"/>
        <w:numPr>
          <w:ilvl w:val="0"/>
          <w:numId w:val="1"/>
        </w:numPr>
        <w:snapToGrid w:val="0"/>
        <w:spacing w:line="560" w:lineRule="exact"/>
        <w:ind w:left="1361" w:firstLineChars="0"/>
        <w:rPr>
          <w:rFonts w:ascii="黑体" w:hAnsi="黑体" w:eastAsia="黑体" w:cs="黑体"/>
          <w:sz w:val="32"/>
          <w:szCs w:val="32"/>
        </w:rPr>
      </w:pPr>
      <w:r>
        <w:rPr>
          <w:rFonts w:hint="eastAsia" w:ascii="黑体" w:hAnsi="黑体" w:eastAsia="黑体" w:cs="黑体"/>
          <w:sz w:val="32"/>
          <w:szCs w:val="32"/>
        </w:rPr>
        <w:t>合规提示</w:t>
      </w:r>
    </w:p>
    <w:p>
      <w:pPr>
        <w:pStyle w:val="3"/>
        <w:numPr>
          <w:ilvl w:val="0"/>
          <w:numId w:val="3"/>
        </w:numPr>
        <w:snapToGrid w:val="0"/>
        <w:spacing w:before="0" w:beforeAutospacing="0" w:after="0" w:afterAutospacing="0" w:line="560" w:lineRule="exact"/>
        <w:ind w:firstLine="640" w:firstLineChars="200"/>
        <w:jc w:val="both"/>
        <w:rPr>
          <w:rFonts w:hint="default" w:ascii="仿宋_GB2312" w:eastAsia="仿宋_GB2312"/>
          <w:b w:val="0"/>
          <w:sz w:val="32"/>
          <w:szCs w:val="32"/>
          <w:highlight w:val="none"/>
        </w:rPr>
      </w:pPr>
      <w:r>
        <w:rPr>
          <w:rFonts w:ascii="仿宋_GB2312" w:eastAsia="仿宋_GB2312"/>
          <w:b w:val="0"/>
          <w:sz w:val="32"/>
          <w:szCs w:val="32"/>
          <w:highlight w:val="none"/>
        </w:rPr>
        <w:t>《深圳市市场监督管理局知识产权领域专项资金操作规程》第</w:t>
      </w:r>
      <w:r>
        <w:rPr>
          <w:rFonts w:hint="eastAsia" w:ascii="仿宋_GB2312" w:eastAsia="仿宋_GB2312"/>
          <w:b w:val="0"/>
          <w:sz w:val="32"/>
          <w:szCs w:val="32"/>
          <w:highlight w:val="none"/>
          <w:lang w:eastAsia="zh-CN"/>
        </w:rPr>
        <w:t>三</w:t>
      </w:r>
      <w:r>
        <w:rPr>
          <w:rFonts w:ascii="仿宋_GB2312" w:eastAsia="仿宋_GB2312"/>
          <w:b w:val="0"/>
          <w:sz w:val="32"/>
          <w:szCs w:val="32"/>
          <w:highlight w:val="none"/>
        </w:rPr>
        <w:t>十</w:t>
      </w:r>
      <w:r>
        <w:rPr>
          <w:rFonts w:hint="eastAsia" w:ascii="仿宋_GB2312" w:eastAsia="仿宋_GB2312"/>
          <w:b w:val="0"/>
          <w:sz w:val="32"/>
          <w:szCs w:val="32"/>
          <w:highlight w:val="none"/>
          <w:lang w:eastAsia="zh-CN"/>
        </w:rPr>
        <w:t>七</w:t>
      </w:r>
      <w:r>
        <w:rPr>
          <w:rFonts w:ascii="仿宋_GB2312" w:eastAsia="仿宋_GB2312"/>
          <w:b w:val="0"/>
          <w:sz w:val="32"/>
          <w:szCs w:val="32"/>
          <w:highlight w:val="none"/>
        </w:rPr>
        <w:t>条规定：</w:t>
      </w:r>
      <w:r>
        <w:rPr>
          <w:rFonts w:hint="eastAsia" w:ascii="仿宋_GB2312" w:eastAsia="仿宋_GB2312"/>
          <w:b w:val="0"/>
          <w:sz w:val="32"/>
          <w:szCs w:val="32"/>
          <w:highlight w:val="none"/>
        </w:rPr>
        <w:t>申请人应对提交的申请材料真实性、合法性、有效性负责。申请人利用虚假材料或</w:t>
      </w:r>
      <w:r>
        <w:rPr>
          <w:rFonts w:hint="eastAsia" w:ascii="仿宋_GB2312" w:eastAsia="仿宋_GB2312"/>
          <w:b w:val="0"/>
          <w:sz w:val="32"/>
          <w:szCs w:val="32"/>
          <w:highlight w:val="none"/>
          <w:lang w:eastAsia="zh-CN"/>
        </w:rPr>
        <w:t>通过</w:t>
      </w:r>
      <w:r>
        <w:rPr>
          <w:rFonts w:hint="eastAsia" w:ascii="仿宋_GB2312" w:eastAsia="仿宋_GB2312"/>
          <w:b w:val="0"/>
          <w:sz w:val="32"/>
          <w:szCs w:val="32"/>
          <w:highlight w:val="none"/>
        </w:rPr>
        <w:t>其</w:t>
      </w:r>
      <w:r>
        <w:rPr>
          <w:rFonts w:hint="eastAsia" w:ascii="仿宋_GB2312" w:eastAsia="仿宋_GB2312"/>
          <w:b w:val="0"/>
          <w:sz w:val="32"/>
          <w:szCs w:val="32"/>
          <w:highlight w:val="none"/>
          <w:lang w:eastAsia="zh-CN"/>
        </w:rPr>
        <w:t>他</w:t>
      </w:r>
      <w:r>
        <w:rPr>
          <w:rFonts w:hint="eastAsia" w:ascii="仿宋_GB2312" w:eastAsia="仿宋_GB2312"/>
          <w:b w:val="0"/>
          <w:sz w:val="32"/>
          <w:szCs w:val="32"/>
          <w:highlight w:val="none"/>
        </w:rPr>
        <w:t>不正当行为骗取、套取、虚报、冒领、截留、挪用专项资金或者违反其</w:t>
      </w:r>
      <w:r>
        <w:rPr>
          <w:rFonts w:hint="eastAsia" w:ascii="仿宋_GB2312" w:eastAsia="仿宋_GB2312"/>
          <w:b w:val="0"/>
          <w:sz w:val="32"/>
          <w:szCs w:val="32"/>
          <w:highlight w:val="none"/>
          <w:lang w:eastAsia="zh-CN"/>
        </w:rPr>
        <w:t>他</w:t>
      </w:r>
      <w:r>
        <w:rPr>
          <w:rFonts w:hint="eastAsia" w:ascii="仿宋_GB2312" w:eastAsia="仿宋_GB2312"/>
          <w:b w:val="0"/>
          <w:sz w:val="32"/>
          <w:szCs w:val="32"/>
          <w:highlight w:val="none"/>
        </w:rPr>
        <w:t>财务纪律的，按照有关规定处理；情节严重的，依照国家相关法律、法规移交有关部门处理。</w:t>
      </w:r>
    </w:p>
    <w:p>
      <w:pPr>
        <w:pStyle w:val="3"/>
        <w:numPr>
          <w:ilvl w:val="0"/>
          <w:numId w:val="3"/>
        </w:numPr>
        <w:snapToGrid w:val="0"/>
        <w:spacing w:before="0" w:beforeAutospacing="0" w:after="0" w:afterAutospacing="0" w:line="560" w:lineRule="exact"/>
        <w:ind w:firstLine="640" w:firstLineChars="200"/>
        <w:jc w:val="both"/>
        <w:rPr>
          <w:rFonts w:hint="default" w:ascii="仿宋_GB2312" w:eastAsia="仿宋_GB2312"/>
          <w:b w:val="0"/>
          <w:sz w:val="32"/>
          <w:szCs w:val="32"/>
          <w:highlight w:val="none"/>
        </w:rPr>
      </w:pPr>
      <w:r>
        <w:rPr>
          <w:rFonts w:ascii="仿宋_GB2312" w:eastAsia="仿宋_GB2312"/>
          <w:b w:val="0"/>
          <w:sz w:val="32"/>
          <w:szCs w:val="32"/>
          <w:highlight w:val="none"/>
        </w:rPr>
        <w:t>《深圳市市场监督管理局知识产权领域专项资金操作规程》第</w:t>
      </w:r>
      <w:r>
        <w:rPr>
          <w:rFonts w:hint="eastAsia" w:ascii="仿宋_GB2312" w:eastAsia="仿宋_GB2312"/>
          <w:b w:val="0"/>
          <w:sz w:val="32"/>
          <w:szCs w:val="32"/>
          <w:highlight w:val="none"/>
          <w:lang w:eastAsia="zh-CN"/>
        </w:rPr>
        <w:t>三</w:t>
      </w:r>
      <w:r>
        <w:rPr>
          <w:rFonts w:ascii="仿宋_GB2312" w:eastAsia="仿宋_GB2312"/>
          <w:b w:val="0"/>
          <w:sz w:val="32"/>
          <w:szCs w:val="32"/>
          <w:highlight w:val="none"/>
        </w:rPr>
        <w:t>十</w:t>
      </w:r>
      <w:r>
        <w:rPr>
          <w:rFonts w:hint="eastAsia" w:ascii="仿宋_GB2312" w:eastAsia="仿宋_GB2312"/>
          <w:b w:val="0"/>
          <w:sz w:val="32"/>
          <w:szCs w:val="32"/>
          <w:highlight w:val="none"/>
          <w:lang w:eastAsia="zh-CN"/>
        </w:rPr>
        <w:t>八</w:t>
      </w:r>
      <w:r>
        <w:rPr>
          <w:rFonts w:ascii="仿宋_GB2312" w:eastAsia="仿宋_GB2312"/>
          <w:b w:val="0"/>
          <w:sz w:val="32"/>
          <w:szCs w:val="32"/>
          <w:highlight w:val="none"/>
        </w:rPr>
        <w:t>条规定：</w:t>
      </w:r>
      <w:r>
        <w:rPr>
          <w:rFonts w:hint="eastAsia" w:ascii="仿宋_GB2312" w:eastAsia="仿宋_GB2312"/>
          <w:b w:val="0"/>
          <w:sz w:val="32"/>
          <w:szCs w:val="32"/>
          <w:highlight w:val="none"/>
        </w:rPr>
        <w:t>受委托的第三方审计机构或专业机构在审计或核验过程中，存在弄虚作假、隐瞒事实真相或与受资助单位串通作弊并出具相关报告</w:t>
      </w:r>
      <w:r>
        <w:rPr>
          <w:rFonts w:hint="eastAsia" w:ascii="仿宋_GB2312" w:eastAsia="仿宋_GB2312"/>
          <w:b w:val="0"/>
          <w:sz w:val="32"/>
          <w:szCs w:val="32"/>
          <w:highlight w:val="none"/>
          <w:lang w:eastAsia="zh-CN"/>
        </w:rPr>
        <w:t>情形的</w:t>
      </w:r>
      <w:r>
        <w:rPr>
          <w:rFonts w:hint="eastAsia" w:ascii="仿宋_GB2312" w:eastAsia="仿宋_GB2312"/>
          <w:b w:val="0"/>
          <w:sz w:val="32"/>
          <w:szCs w:val="32"/>
          <w:highlight w:val="none"/>
        </w:rPr>
        <w:t>，按照有关规定追究责任。</w:t>
      </w:r>
    </w:p>
    <w:p>
      <w:pPr>
        <w:pStyle w:val="3"/>
        <w:snapToGrid w:val="0"/>
        <w:spacing w:before="0" w:beforeAutospacing="0" w:after="0" w:afterAutospacing="0" w:line="560" w:lineRule="exact"/>
        <w:ind w:firstLine="640" w:firstLineChars="200"/>
        <w:jc w:val="both"/>
        <w:rPr>
          <w:rFonts w:ascii="仿宋_GB2312" w:eastAsia="仿宋_GB2312"/>
          <w:b w:val="0"/>
          <w:sz w:val="32"/>
          <w:szCs w:val="32"/>
        </w:rPr>
      </w:pPr>
      <w:r>
        <w:rPr>
          <w:rFonts w:ascii="仿宋_GB2312" w:eastAsia="仿宋_GB2312"/>
          <w:b w:val="0"/>
          <w:sz w:val="32"/>
          <w:szCs w:val="32"/>
        </w:rPr>
        <w:t>（三）</w:t>
      </w:r>
      <w:r>
        <w:rPr>
          <w:rFonts w:hint="eastAsia" w:ascii="仿宋_GB2312" w:eastAsia="仿宋_GB2312"/>
          <w:b w:val="0"/>
          <w:sz w:val="32"/>
          <w:szCs w:val="32"/>
        </w:rPr>
        <w:t>《深圳市市场监督管理局知识产权领域专项资金操作规程》第三十九条规定：第三方中介机构不得违规代理本规程资助奖励项目申领事宜。</w:t>
      </w:r>
    </w:p>
    <w:p>
      <w:pPr>
        <w:pStyle w:val="3"/>
        <w:snapToGrid w:val="0"/>
        <w:spacing w:before="0" w:beforeAutospacing="0" w:after="0" w:afterAutospacing="0" w:line="560" w:lineRule="exact"/>
        <w:ind w:firstLine="640" w:firstLineChars="200"/>
        <w:jc w:val="both"/>
        <w:rPr>
          <w:rFonts w:hint="default"/>
        </w:rPr>
      </w:pPr>
      <w:r>
        <w:rPr>
          <w:rFonts w:hint="eastAsia" w:ascii="仿宋_GB2312" w:eastAsia="仿宋_GB2312"/>
          <w:b w:val="0"/>
          <w:sz w:val="32"/>
          <w:szCs w:val="32"/>
          <w:lang w:eastAsia="zh-CN"/>
        </w:rPr>
        <w:t>（四）</w:t>
      </w:r>
      <w:r>
        <w:rPr>
          <w:rFonts w:ascii="仿宋_GB2312" w:eastAsia="仿宋_GB2312"/>
          <w:b w:val="0"/>
          <w:sz w:val="32"/>
          <w:szCs w:val="32"/>
        </w:rPr>
        <w:t>根据上述规定，申请人申请资助时必须作出合规承诺（在申报系统中操作），否则不予受理。</w:t>
      </w:r>
    </w:p>
    <w:p>
      <w:pPr>
        <w:pStyle w:val="6"/>
        <w:numPr>
          <w:ilvl w:val="0"/>
          <w:numId w:val="1"/>
        </w:numPr>
        <w:snapToGrid w:val="0"/>
        <w:spacing w:line="560" w:lineRule="exact"/>
        <w:ind w:left="1361" w:firstLineChars="0"/>
        <w:rPr>
          <w:rFonts w:ascii="黑体" w:hAnsi="黑体" w:eastAsia="黑体" w:cs="黑体"/>
          <w:sz w:val="32"/>
          <w:szCs w:val="32"/>
        </w:rPr>
      </w:pPr>
      <w:r>
        <w:rPr>
          <w:rFonts w:hint="eastAsia" w:ascii="黑体" w:hAnsi="黑体" w:eastAsia="黑体" w:cs="黑体"/>
          <w:sz w:val="32"/>
          <w:szCs w:val="32"/>
        </w:rPr>
        <w:t>收费情况</w:t>
      </w:r>
    </w:p>
    <w:p>
      <w:pPr>
        <w:snapToGrid w:val="0"/>
        <w:spacing w:line="560" w:lineRule="exact"/>
        <w:ind w:firstLine="640" w:firstLineChars="200"/>
        <w:jc w:val="left"/>
        <w:rPr>
          <w:rFonts w:ascii="仿宋_GB2312" w:eastAsia="仿宋_GB2312"/>
          <w:sz w:val="32"/>
          <w:szCs w:val="32"/>
        </w:rPr>
      </w:pPr>
      <w:r>
        <w:rPr>
          <w:rFonts w:hint="eastAsia" w:ascii="仿宋_GB2312" w:eastAsia="仿宋_GB2312"/>
          <w:sz w:val="32"/>
          <w:szCs w:val="32"/>
        </w:rPr>
        <w:t>不收费。</w:t>
      </w:r>
    </w:p>
    <w:p>
      <w:pPr>
        <w:pStyle w:val="6"/>
        <w:numPr>
          <w:ilvl w:val="0"/>
          <w:numId w:val="1"/>
        </w:numPr>
        <w:snapToGrid w:val="0"/>
        <w:spacing w:line="560" w:lineRule="exact"/>
        <w:ind w:left="1361" w:firstLineChars="0"/>
        <w:rPr>
          <w:rFonts w:ascii="黑体" w:hAnsi="黑体" w:eastAsia="黑体" w:cs="黑体"/>
          <w:sz w:val="32"/>
          <w:szCs w:val="32"/>
        </w:rPr>
      </w:pPr>
      <w:r>
        <w:rPr>
          <w:rFonts w:hint="eastAsia" w:ascii="黑体" w:hAnsi="黑体" w:eastAsia="黑体" w:cs="黑体"/>
          <w:sz w:val="32"/>
          <w:szCs w:val="32"/>
        </w:rPr>
        <w:t>年审或年检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eastAsia="仿宋_GB2312"/>
          <w:lang w:eastAsia="zh-CN"/>
        </w:rPr>
      </w:pPr>
      <w:r>
        <w:rPr>
          <w:rFonts w:hint="eastAsia" w:ascii="仿宋_GB2312" w:eastAsia="仿宋_GB2312"/>
          <w:sz w:val="32"/>
          <w:szCs w:val="32"/>
        </w:rPr>
        <w:t>无年审、年检</w:t>
      </w:r>
      <w:r>
        <w:rPr>
          <w:rFonts w:hint="eastAsia" w:ascii="仿宋_GB2312" w:eastAsia="仿宋_GB2312"/>
          <w:sz w:val="32"/>
          <w:szCs w:val="32"/>
          <w:lang w:eastAsia="zh-CN"/>
        </w:rPr>
        <w:t>。</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0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00"/>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华文中宋">
    <w:altName w:val="汉仪中宋简"/>
    <w:panose1 w:val="02010600040101010101"/>
    <w:charset w:val="00"/>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683D1A"/>
    <w:multiLevelType w:val="singleLevel"/>
    <w:tmpl w:val="E1683D1A"/>
    <w:lvl w:ilvl="0" w:tentative="0">
      <w:start w:val="1"/>
      <w:numFmt w:val="chineseCounting"/>
      <w:suff w:val="nothing"/>
      <w:lvlText w:val="（%1）"/>
      <w:lvlJc w:val="left"/>
      <w:rPr>
        <w:rFonts w:hint="eastAsia"/>
      </w:rPr>
    </w:lvl>
  </w:abstractNum>
  <w:abstractNum w:abstractNumId="1">
    <w:nsid w:val="03E81AF4"/>
    <w:multiLevelType w:val="multilevel"/>
    <w:tmpl w:val="03E81AF4"/>
    <w:lvl w:ilvl="0" w:tentative="0">
      <w:start w:val="1"/>
      <w:numFmt w:val="japaneseCounting"/>
      <w:lvlText w:val="%1、"/>
      <w:lvlJc w:val="left"/>
      <w:pPr>
        <w:ind w:left="1360" w:hanging="720"/>
      </w:pPr>
      <w:rPr>
        <w:rFonts w:hint="default" w:ascii="黑体" w:hAnsi="黑体" w:eastAsia="黑体"/>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69F64F8"/>
    <w:multiLevelType w:val="multilevel"/>
    <w:tmpl w:val="269F64F8"/>
    <w:lvl w:ilvl="0" w:tentative="0">
      <w:start w:val="1"/>
      <w:numFmt w:val="japaneseCounting"/>
      <w:lvlText w:val="（%1）"/>
      <w:lvlJc w:val="left"/>
      <w:pPr>
        <w:ind w:left="1723" w:hanging="1080"/>
      </w:pPr>
      <w:rPr>
        <w:rFonts w:hint="eastAsia" w:ascii="楷体_GB2312" w:eastAsia="楷体_GB2312"/>
        <w:b/>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rPr>
        <w:rFonts w:hint="eastAsia" w:ascii="楷体_GB2312" w:eastAsia="楷体_GB2312"/>
        <w:b/>
      </w:rPr>
    </w:lvl>
    <w:lvl w:ilvl="4" w:tentative="0">
      <w:start w:val="1"/>
      <w:numFmt w:val="decimal"/>
      <w:lvlText w:val="（%5）"/>
      <w:lvlJc w:val="left"/>
      <w:pPr>
        <w:ind w:left="3403" w:hanging="1080"/>
      </w:pPr>
      <w:rPr>
        <w:rFonts w:hint="default"/>
        <w:lang w:val="en-US"/>
      </w:r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DFFE66"/>
    <w:rsid w:val="5CFF65A3"/>
    <w:rsid w:val="63DFFE66"/>
    <w:rsid w:val="76BFFF2E"/>
    <w:rsid w:val="7B5FDCD8"/>
    <w:rsid w:val="7F6C5D20"/>
    <w:rsid w:val="7FFF6820"/>
    <w:rsid w:val="D7EC0784"/>
    <w:rsid w:val="EEBF3C9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0"/>
    <w:pPr>
      <w:spacing w:before="0" w:beforeAutospacing="0" w:after="0" w:afterAutospacing="0"/>
      <w:ind w:firstLine="880" w:firstLineChars="200"/>
      <w:jc w:val="both"/>
      <w:outlineLvl w:val="1"/>
    </w:pPr>
    <w:rPr>
      <w:rFonts w:hint="eastAsia" w:ascii="Times New Roman" w:hAnsi="Times New Roman" w:eastAsia="楷体" w:cs="Times New Roman"/>
      <w:b/>
      <w:kern w:val="0"/>
      <w:szCs w:val="36"/>
      <w:lang w:bidi="ar"/>
    </w:rPr>
  </w:style>
  <w:style w:type="paragraph" w:styleId="3">
    <w:name w:val="heading 3"/>
    <w:basedOn w:val="1"/>
    <w:next w:val="1"/>
    <w:qFormat/>
    <w:uiPriority w:val="0"/>
    <w:pPr>
      <w:widowControl/>
      <w:spacing w:before="100" w:beforeAutospacing="1" w:after="100" w:afterAutospacing="1"/>
      <w:jc w:val="left"/>
      <w:outlineLvl w:val="2"/>
    </w:pPr>
    <w:rPr>
      <w:rFonts w:hint="eastAsia" w:ascii="宋体" w:hAnsi="宋体"/>
      <w:b/>
      <w:sz w:val="27"/>
      <w:szCs w:val="20"/>
    </w:rPr>
  </w:style>
  <w:style w:type="character" w:default="1" w:styleId="5">
    <w:name w:val="Default Paragraph Font"/>
    <w:semiHidden/>
    <w:qFormat/>
    <w:uiPriority w:val="0"/>
  </w:style>
  <w:style w:type="table" w:default="1" w:styleId="4">
    <w:name w:val="Normal Table"/>
    <w:semiHidden/>
    <w:qFormat/>
    <w:uiPriority w:val="0"/>
    <w:tblPr>
      <w:tblStyle w:val="4"/>
      <w:tblCellMar>
        <w:top w:w="0" w:type="dxa"/>
        <w:left w:w="108" w:type="dxa"/>
        <w:bottom w:w="0" w:type="dxa"/>
        <w:right w:w="108" w:type="dxa"/>
      </w:tblCellMar>
    </w:tblPr>
  </w:style>
  <w:style w:type="paragraph" w:styleId="6">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2025-04-24T18:07:00Z</dcterms:created>
  <dc:creator>liuyt1</dc:creator>
  <cp:lastModifiedBy>WANGQW</cp:lastModifiedBy>
  <dcterms:modified xsi:type="dcterms:W3CDTF">2025-06-06T17:06:15Z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AFEA324BDB7AD94E87AF4268D7DB4626</vt:lpwstr>
  </property>
</Properties>
</file>