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rPr>
      </w:pPr>
      <w:bookmarkStart w:id="0" w:name="_GoBack"/>
      <w:bookmarkEnd w:id="0"/>
      <w:r>
        <w:rPr>
          <w:rFonts w:hint="eastAsia" w:ascii="方正小标宋简体" w:hAnsi="方正小标宋简体" w:eastAsia="方正小标宋简体" w:cs="方正小标宋简体"/>
          <w:b w:val="0"/>
          <w:bCs/>
          <w:sz w:val="44"/>
          <w:szCs w:val="44"/>
          <w:highlight w:val="none"/>
        </w:rPr>
        <w:t>承诺书</w:t>
      </w:r>
    </w:p>
    <w:p>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本企业已知悉深圳市</w:t>
      </w:r>
      <w:r>
        <w:rPr>
          <w:rFonts w:hint="eastAsia" w:ascii="仿宋_GB2312" w:hAnsi="仿宋_GB2312" w:eastAsia="仿宋_GB2312" w:cs="仿宋_GB2312"/>
          <w:sz w:val="32"/>
          <w:szCs w:val="32"/>
          <w:highlight w:val="none"/>
          <w:lang w:eastAsia="zh-CN"/>
        </w:rPr>
        <w:t>深汕特别合作区“</w:t>
      </w:r>
      <w:r>
        <w:rPr>
          <w:rFonts w:hint="eastAsia" w:ascii="仿宋_GB2312" w:hAnsi="仿宋_GB2312" w:eastAsia="仿宋_GB2312" w:cs="仿宋_GB2312"/>
          <w:sz w:val="32"/>
          <w:szCs w:val="32"/>
          <w:highlight w:val="none"/>
          <w:lang w:val="en-US" w:eastAsia="zh-CN"/>
        </w:rPr>
        <w:t>个转企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奖励资金</w:t>
      </w:r>
      <w:r>
        <w:rPr>
          <w:rFonts w:hint="eastAsia" w:ascii="仿宋_GB2312" w:hAnsi="仿宋_GB2312" w:eastAsia="仿宋_GB2312" w:cs="仿宋_GB2312"/>
          <w:sz w:val="32"/>
          <w:szCs w:val="32"/>
          <w:highlight w:val="none"/>
        </w:rPr>
        <w:t>有关政策，现自愿申请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个转企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奖励资金</w:t>
      </w:r>
      <w:r>
        <w:rPr>
          <w:rFonts w:hint="eastAsia" w:ascii="仿宋_GB2312" w:hAnsi="仿宋_GB2312" w:eastAsia="仿宋_GB2312" w:cs="仿宋_GB2312"/>
          <w:sz w:val="32"/>
          <w:szCs w:val="32"/>
          <w:highlight w:val="none"/>
        </w:rPr>
        <w:t>，并承诺如下：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rPr>
        <w:t>企业</w:t>
      </w:r>
      <w:r>
        <w:rPr>
          <w:rFonts w:hint="eastAsia" w:ascii="仿宋_GB2312" w:hAnsi="仿宋_GB2312" w:eastAsia="仿宋_GB2312" w:cs="仿宋_GB2312"/>
          <w:color w:val="000000"/>
          <w:sz w:val="32"/>
          <w:szCs w:val="32"/>
          <w:highlight w:val="none"/>
          <w:shd w:val="clear" w:color="auto" w:fill="FFFFFF"/>
          <w:lang w:val="en-US" w:eastAsia="zh-CN"/>
        </w:rPr>
        <w:t>符合</w:t>
      </w:r>
      <w:r>
        <w:rPr>
          <w:rFonts w:hint="eastAsia" w:ascii="仿宋_GB2312" w:hAnsi="仿宋_GB2312" w:eastAsia="仿宋_GB2312" w:cs="仿宋_GB2312"/>
          <w:sz w:val="32"/>
          <w:szCs w:val="32"/>
          <w:highlight w:val="none"/>
          <w:lang w:eastAsia="zh-CN"/>
        </w:rPr>
        <w:t>深汕特别合作区</w:t>
      </w:r>
      <w:r>
        <w:rPr>
          <w:rFonts w:hint="eastAsia" w:ascii="仿宋_GB2312" w:hAnsi="仿宋_GB2312" w:eastAsia="仿宋_GB2312" w:cs="仿宋_GB2312"/>
          <w:color w:val="000000"/>
          <w:sz w:val="32"/>
          <w:szCs w:val="32"/>
          <w:highlight w:val="none"/>
          <w:shd w:val="clear" w:color="auto" w:fill="FFFFFF"/>
        </w:rPr>
        <w:t>申请“个转企”</w:t>
      </w:r>
      <w:r>
        <w:rPr>
          <w:rFonts w:hint="eastAsia" w:ascii="仿宋_GB2312" w:hAnsi="仿宋_GB2312" w:eastAsia="仿宋_GB2312" w:cs="仿宋_GB2312"/>
          <w:color w:val="000000"/>
          <w:sz w:val="32"/>
          <w:szCs w:val="32"/>
          <w:highlight w:val="none"/>
          <w:shd w:val="clear" w:color="auto" w:fill="FFFFFF"/>
          <w:lang w:val="en-US" w:eastAsia="zh-CN"/>
        </w:rPr>
        <w:t>全部</w:t>
      </w:r>
      <w:r>
        <w:rPr>
          <w:rFonts w:hint="eastAsia" w:ascii="仿宋_GB2312" w:hAnsi="仿宋_GB2312" w:eastAsia="仿宋_GB2312" w:cs="仿宋_GB2312"/>
          <w:color w:val="000000"/>
          <w:sz w:val="32"/>
          <w:szCs w:val="32"/>
          <w:highlight w:val="none"/>
          <w:shd w:val="clear" w:color="auto" w:fill="FFFFFF"/>
        </w:rPr>
        <w:t>奖励条件</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按期连续申报纳税，无税务异常情况；</w:t>
      </w:r>
      <w:r>
        <w:rPr>
          <w:rFonts w:hint="eastAsia" w:ascii="仿宋_GB2312" w:hAnsi="仿宋_GB2312" w:eastAsia="仿宋_GB2312" w:cs="仿宋_GB2312"/>
          <w:color w:val="000000"/>
          <w:sz w:val="32"/>
          <w:szCs w:val="32"/>
          <w:highlight w:val="none"/>
          <w:shd w:val="clear" w:color="auto" w:fill="FFFFFF"/>
          <w:lang w:val="en-US" w:eastAsia="zh-CN"/>
        </w:rPr>
        <w:t>在</w:t>
      </w:r>
      <w:r>
        <w:rPr>
          <w:rFonts w:hint="eastAsia" w:ascii="仿宋_GB2312" w:hAnsi="仿宋_GB2312" w:eastAsia="仿宋_GB2312" w:cs="仿宋_GB2312"/>
          <w:sz w:val="32"/>
          <w:szCs w:val="32"/>
          <w:highlight w:val="none"/>
          <w:lang w:eastAsia="zh-CN"/>
        </w:rPr>
        <w:t>深汕特别合作区</w:t>
      </w:r>
      <w:r>
        <w:rPr>
          <w:rFonts w:hint="eastAsia" w:ascii="仿宋_GB2312" w:hAnsi="仿宋_GB2312" w:eastAsia="仿宋_GB2312" w:cs="仿宋_GB2312"/>
          <w:color w:val="000000"/>
          <w:sz w:val="32"/>
          <w:szCs w:val="32"/>
          <w:highlight w:val="none"/>
          <w:shd w:val="clear" w:color="auto" w:fill="FFFFFF"/>
          <w:lang w:val="en-US" w:eastAsia="zh-CN"/>
        </w:rPr>
        <w:t>的住所为真实经营的场所，且</w:t>
      </w:r>
      <w:r>
        <w:rPr>
          <w:rFonts w:hint="default" w:ascii="仿宋_GB2312" w:hAnsi="仿宋_GB2312" w:eastAsia="仿宋_GB2312" w:cs="仿宋_GB2312"/>
          <w:kern w:val="2"/>
          <w:sz w:val="32"/>
          <w:szCs w:val="32"/>
          <w:highlight w:val="none"/>
          <w:lang w:eastAsia="zh-CN" w:bidi="ar-SA"/>
        </w:rPr>
        <w:t>在注册地经营</w:t>
      </w:r>
      <w:r>
        <w:rPr>
          <w:rFonts w:hint="eastAsia" w:ascii="仿宋_GB2312" w:hAnsi="仿宋_GB2312" w:eastAsia="仿宋_GB2312" w:cs="仿宋_GB2312"/>
          <w:color w:val="000000"/>
          <w:sz w:val="32"/>
          <w:szCs w:val="32"/>
          <w:highlight w:val="none"/>
          <w:shd w:val="clear" w:color="auto" w:fill="FFFFFF"/>
        </w:rPr>
        <w:t>；未被列入经营异常名录和或严重违法失信名单</w:t>
      </w:r>
      <w:r>
        <w:rPr>
          <w:rFonts w:hint="eastAsia" w:ascii="仿宋_GB2312" w:hAnsi="仿宋_GB2312" w:eastAsia="仿宋_GB2312" w:cs="仿宋_GB2312"/>
          <w:color w:val="000000"/>
          <w:sz w:val="32"/>
          <w:szCs w:val="32"/>
          <w:highlight w:val="none"/>
          <w:shd w:val="clear" w:color="auto" w:fill="FFFFFF"/>
          <w:lang w:val="en-US" w:eastAsia="zh-CN"/>
        </w:rPr>
        <w:t>等。</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奖励资金申请及发放</w:t>
      </w:r>
      <w:r>
        <w:rPr>
          <w:rFonts w:hint="eastAsia" w:ascii="仿宋_GB2312" w:hAnsi="仿宋_GB2312" w:eastAsia="仿宋_GB2312" w:cs="仿宋_GB2312"/>
          <w:color w:val="000000"/>
          <w:sz w:val="32"/>
          <w:szCs w:val="32"/>
          <w:highlight w:val="none"/>
          <w:shd w:val="clear" w:color="auto" w:fill="FFFFFF"/>
          <w:lang w:eastAsia="zh-CN"/>
        </w:rPr>
        <w:t>起</w:t>
      </w:r>
      <w:r>
        <w:rPr>
          <w:rFonts w:hint="eastAsia" w:ascii="仿宋_GB2312" w:hAnsi="仿宋_GB2312" w:eastAsia="仿宋_GB2312" w:cs="仿宋_GB2312"/>
          <w:color w:val="000000"/>
          <w:sz w:val="32"/>
          <w:szCs w:val="32"/>
          <w:highlight w:val="none"/>
          <w:shd w:val="clear" w:color="auto" w:fill="FFFFFF"/>
          <w:lang w:val="en-US" w:eastAsia="zh-CN"/>
        </w:rPr>
        <w:t>3年内，企业不具有以下情况：</w:t>
      </w:r>
      <w:r>
        <w:rPr>
          <w:rFonts w:hint="eastAsia" w:ascii="仿宋_GB2312" w:hAnsi="仿宋_GB2312" w:eastAsia="仿宋_GB2312" w:cs="仿宋_GB2312"/>
          <w:color w:val="000000"/>
          <w:sz w:val="32"/>
          <w:szCs w:val="32"/>
          <w:highlight w:val="none"/>
          <w:shd w:val="clear" w:color="auto" w:fill="FFFFFF"/>
        </w:rPr>
        <w:t>1.原个体工商户经营者</w:t>
      </w:r>
      <w:r>
        <w:rPr>
          <w:rFonts w:hint="eastAsia" w:ascii="仿宋_GB2312" w:hAnsi="仿宋_GB2312" w:eastAsia="仿宋_GB2312" w:cs="仿宋_GB2312"/>
          <w:color w:val="000000"/>
          <w:sz w:val="32"/>
          <w:szCs w:val="32"/>
          <w:highlight w:val="none"/>
          <w:shd w:val="clear" w:color="auto" w:fill="FFFFFF"/>
          <w:lang w:val="en-US" w:eastAsia="zh-CN"/>
        </w:rPr>
        <w:t>已不再担任</w:t>
      </w:r>
      <w:r>
        <w:rPr>
          <w:rFonts w:hint="eastAsia" w:ascii="仿宋_GB2312" w:hAnsi="仿宋_GB2312" w:eastAsia="仿宋_GB2312" w:cs="仿宋_GB2312"/>
          <w:color w:val="000000"/>
          <w:sz w:val="32"/>
          <w:szCs w:val="32"/>
          <w:highlight w:val="none"/>
          <w:shd w:val="clear" w:color="auto" w:fill="FFFFFF"/>
        </w:rPr>
        <w:t>企业投资人（股东）身份</w:t>
      </w:r>
      <w:r>
        <w:rPr>
          <w:rFonts w:hint="eastAsia" w:ascii="仿宋_GB2312" w:hAnsi="仿宋_GB2312" w:eastAsia="仿宋_GB2312" w:cs="仿宋_GB2312"/>
          <w:color w:val="000000"/>
          <w:sz w:val="32"/>
          <w:szCs w:val="32"/>
          <w:highlight w:val="none"/>
          <w:shd w:val="clear" w:color="auto" w:fill="FFFFFF"/>
          <w:lang w:eastAsia="zh-CN"/>
        </w:rPr>
        <w:t>（家庭经营的个体工商户经营者变更为家庭成员的除外）</w:t>
      </w:r>
      <w:r>
        <w:rPr>
          <w:rFonts w:hint="eastAsia" w:ascii="仿宋_GB2312" w:hAnsi="仿宋_GB2312" w:eastAsia="仿宋_GB2312" w:cs="仿宋_GB2312"/>
          <w:color w:val="000000"/>
          <w:sz w:val="32"/>
          <w:szCs w:val="32"/>
          <w:highlight w:val="none"/>
          <w:shd w:val="clear" w:color="auto" w:fill="FFFFFF"/>
        </w:rPr>
        <w:t>；2.提交虚假申请材料；3.通过登记地址无法联系；4.已注销或被吊销、除名、责令关闭、撤销登记。</w:t>
      </w:r>
    </w:p>
    <w:p>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严格按照《</w:t>
      </w:r>
      <w:r>
        <w:rPr>
          <w:rFonts w:hint="eastAsia" w:ascii="仿宋_GB2312" w:hAnsi="仿宋_GB2312" w:eastAsia="仿宋_GB2312" w:cs="仿宋_GB2312"/>
          <w:sz w:val="32"/>
          <w:szCs w:val="32"/>
          <w:highlight w:val="none"/>
          <w:lang w:eastAsia="zh-CN"/>
        </w:rPr>
        <w:t>深圳市深汕特别合作区个体工商户转型升级为企业奖励资金实施细则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条件、程序和材料等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在规定的期限内申请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个转企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奖励</w:t>
      </w:r>
      <w:r>
        <w:rPr>
          <w:rFonts w:hint="eastAsia" w:ascii="仿宋_GB2312" w:hAnsi="仿宋_GB2312" w:eastAsia="仿宋_GB2312" w:cs="仿宋_GB2312"/>
          <w:sz w:val="32"/>
          <w:szCs w:val="32"/>
          <w:highlight w:val="none"/>
        </w:rPr>
        <w:t>资金；</w:t>
      </w:r>
    </w:p>
    <w:p>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、对本</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所提供的文件、证件、有关材料及其复印件的真实性、合法性作保证，绝无弄虚作假，并为此承担全部法律责任和后果。</w:t>
      </w:r>
    </w:p>
    <w:p>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承诺人：</w:t>
      </w:r>
    </w:p>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（签名 盖章）</w:t>
      </w:r>
    </w:p>
    <w:p>
      <w:pPr>
        <w:keepNext w:val="0"/>
        <w:keepLines w:val="0"/>
        <w:pageBreakBefore w:val="0"/>
        <w:widowControl w:val="0"/>
        <w:kinsoku/>
        <w:wordWrap/>
        <w:overflowPunct/>
        <w:topLinePunct w:val="0"/>
        <w:autoSpaceDE/>
        <w:autoSpaceDN/>
        <w:bidi w:val="0"/>
        <w:adjustRightInd/>
        <w:snapToGrid w:val="0"/>
        <w:spacing w:line="560" w:lineRule="exact"/>
        <w:ind w:firstLine="63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spacing w:line="240" w:lineRule="exact"/>
        <w:jc w:val="center"/>
        <w:rPr>
          <w:rFonts w:hint="eastAsia" w:ascii="[8bO53" w:hAnsi="[8bO53"/>
          <w:sz w:val="18"/>
          <w:szCs w:val="18"/>
          <w:highlight w:val="none"/>
        </w:rPr>
      </w:pPr>
    </w:p>
    <w:p>
      <w:pPr>
        <w:spacing w:line="240" w:lineRule="exact"/>
        <w:jc w:val="center"/>
        <w:rPr>
          <w:rFonts w:hint="eastAsia" w:ascii="[8bO53" w:hAnsi="[8bO53"/>
          <w:color w:val="595959" w:themeColor="text1" w:themeTint="A6"/>
          <w:sz w:val="18"/>
          <w:szCs w:val="18"/>
          <w:highlight w:val="none"/>
          <w14:textFill>
            <w14:solidFill>
              <w14:schemeClr w14:val="tx1">
                <w14:lumMod w14:val="65000"/>
                <w14:lumOff w14:val="35000"/>
              </w14:schemeClr>
            </w14:solidFill>
          </w14:textFill>
        </w:rPr>
      </w:pPr>
      <w:r>
        <w:rPr>
          <w:rFonts w:hint="eastAsia" w:ascii="[8bO53" w:hAnsi="[8bO53"/>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88900</wp:posOffset>
                </wp:positionV>
                <wp:extent cx="5543550" cy="0"/>
                <wp:effectExtent l="0" t="22225" r="3810" b="23495"/>
                <wp:wrapNone/>
                <wp:docPr id="1" name="直接箭头连接符 1"/>
                <wp:cNvGraphicFramePr/>
                <a:graphic xmlns:a="http://schemas.openxmlformats.org/drawingml/2006/main">
                  <a:graphicData uri="http://schemas.microsoft.com/office/word/2010/wordprocessingShape">
                    <wps:wsp>
                      <wps:cNvCnPr/>
                      <wps:spPr>
                        <a:xfrm>
                          <a:off x="0" y="0"/>
                          <a:ext cx="5543550" cy="0"/>
                        </a:xfrm>
                        <a:prstGeom prst="straightConnector1">
                          <a:avLst/>
                        </a:prstGeom>
                        <a:ln w="44450" cap="flat" cmpd="sng">
                          <a:solidFill>
                            <a:srgbClr val="5A5A5A"/>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75pt;margin-top:7pt;height:0pt;width:436.5pt;z-index:251660288;mso-width-relative:page;mso-height-relative:page;" filled="f" stroked="t" coordsize="21600,21600" o:gfxdata="UEsDBAoAAAAAAIdO4kAAAAAAAAAAAAAAAAAEAAAAZHJzL1BLAwQUAAAACACHTuJAqjVDN9gAAAAJ&#10;AQAADwAAAGRycy9kb3ducmV2LnhtbE2PS0/DMBCE70j8B2uRuKDWCaUohDgV4iHEgQNJJa5uvHmI&#10;eB3FTpP+exZxgOPOfJqdyXaL7cURR985UhCvIxBIlTMdNQr25csqAeGDJqN7R6jghB52+flZplPj&#10;ZvrAYxEawSHkU62gDWFIpfRVi1b7tRuQ2KvdaHXgc2ykGfXM4baX11F0K63uiD+0esDHFquvYrIK&#10;3GZ+f3pNivL0/Pmwb+q3q6UuJ6UuL+LoHkTAJfzB8FOfq0POnQ5uIuNFr2AVb7aMsnHDmxhItncs&#10;HH4FmWfy/4L8G1BLAwQUAAAACACHTuJAH6SZWeQBAACfAwAADgAAAGRycy9lMm9Eb2MueG1srVNL&#10;jhMxEN0jcQfLe9LJkCDUSmeEEoYNgkjAASq2u9uSf3KZdHIJLoDECljBrGbPaWA4BmUnk+GzQQi1&#10;5C67XK/qvSrPz3fWsK2KqL1r+GQ05kw54aV2XcNfvby495AzTOAkGO9Uw/cK+fni7p35EGp15ntv&#10;pIqMQBzWQ2h4n1KoqwpFryzgyAflyNn6aCHRNnaVjDAQujXV2Xj8oBp8lCF6oRDpdHVw8kXBb1sl&#10;0vO2RZWYaTjVlsoay7rJa7WYQ91FCL0WxzLgH6qwoB0lPUGtIAF7HfUfUFaL6NG3aSS8rXzbaqEK&#10;B2IzGf/G5kUPQRUuJA6Gk0z4/2DFs+06Mi2pd5w5sNSi67dX3958uL78/PX91fcv77L96SObZKmG&#10;gDVFLN06HncY1jHz3rXR5j8xYrsi7/4kr9olJuhwNpven82oC+LGV90GhojpifKWZaPhmCLork9L&#10;7xw10cdJkRe2TzFRagq8CchZjWNDw6fTaUEHmqPWQKJENhAzdF0JRm+0vNDG5BCM3WZpItsCTcbs&#10;Uf4yQwL+5VrOsgLsD/eK6zAzvQL52EmW9oE0czTcPNdgleTMKHoL2SJAqBNo8zc3KbVxVEEW+SBr&#10;tjZe7ova5ZymoNR4nNg8Zj/vS/Ttu1r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o1QzfYAAAA&#10;CQEAAA8AAAAAAAAAAQAgAAAAIgAAAGRycy9kb3ducmV2LnhtbFBLAQIUABQAAAAIAIdO4kAfpJlZ&#10;5AEAAJ8DAAAOAAAAAAAAAAEAIAAAACcBAABkcnMvZTJvRG9jLnhtbFBLBQYAAAAABgAGAFkBAAB9&#10;BQAAAAA=&#10;">
                <v:fill on="f" focussize="0,0"/>
                <v:stroke weight="3.5pt" color="#5A5A5A" joinstyle="round"/>
                <v:imagedata o:title=""/>
                <o:lock v:ext="edit" aspectratio="f"/>
              </v:shape>
            </w:pict>
          </mc:Fallback>
        </mc:AlternateContent>
      </w:r>
      <w:r>
        <w:rPr>
          <w:rFonts w:hint="eastAsia" w:ascii="[8bO53" w:hAnsi="[8bO53"/>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136525</wp:posOffset>
                </wp:positionV>
                <wp:extent cx="5543550" cy="0"/>
                <wp:effectExtent l="0" t="7620" r="3810" b="7620"/>
                <wp:wrapNone/>
                <wp:docPr id="2" name="直接箭头连接符 2"/>
                <wp:cNvGraphicFramePr/>
                <a:graphic xmlns:a="http://schemas.openxmlformats.org/drawingml/2006/main">
                  <a:graphicData uri="http://schemas.microsoft.com/office/word/2010/wordprocessingShape">
                    <wps:wsp>
                      <wps:cNvCnPr/>
                      <wps:spPr>
                        <a:xfrm>
                          <a:off x="0" y="0"/>
                          <a:ext cx="5543550" cy="0"/>
                        </a:xfrm>
                        <a:prstGeom prst="straightConnector1">
                          <a:avLst/>
                        </a:prstGeom>
                        <a:ln w="15240" cap="flat" cmpd="sng">
                          <a:solidFill>
                            <a:srgbClr val="5A5A5A"/>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75pt;margin-top:10.75pt;height:0pt;width:436.5pt;z-index:251659264;mso-width-relative:page;mso-height-relative:page;" filled="f" stroked="t" coordsize="21600,21600" o:gfxdata="UEsDBAoAAAAAAIdO4kAAAAAAAAAAAAAAAAAEAAAAZHJzL1BLAwQUAAAACACHTuJABeWMPNYAAAAJ&#10;AQAADwAAAGRycy9kb3ducmV2LnhtbE2Py07DMBBF90j8gzVI7FonRSltiNMFEiAQm7bQbp14SCL8&#10;iOzpg79nEAtYzevq3jPV6uysOGJMQ/AK8mkGAn0bzOA7BW/bh8kCRCLtjbbBo4IvTLCqLy8qXZpw&#10;8ms8bqgTbOJTqRX0RGMpZWp7dDpNw4iebx8hOk08xk6aqE9s7qycZdlcOj14Tuj1iPc9tp+bg1Mw&#10;329viZ5fXwrXFE9LGnbRvj8qdX2VZ3cgCM/0J4YffEaHmpmacPAmCatgkt8ULFUwy7myYFEsuWl+&#10;F7Ku5P8P6m9QSwMEFAAAAAgAh07iQOS6lQLkAQAAnwMAAA4AAABkcnMvZTJvRG9jLnhtbK1TS44T&#10;MRDdI3EHy3vSSTONUCudEUoYNggiAQeo+NNtyT/ZJp1cggsgsQJWMKvZcxoYjkHZyWT4bBBCLbnL&#10;n3pV7/l5fr4zmmxFiMrZjs4mU0qEZY4r23f01cuLew8piQksB+2s6OheRHq+uHtnPvpW1G5wmotA&#10;EMTGdvQdHVLybVVFNggDceK8sLgpXTCQcBr6igcYEd3oqp5OH1SjC9wHx0SMuLo6bNJFwZdSsPRc&#10;yigS0R3F3lIZQxk3eawWc2j7AH5Q7NgG/EMXBpTFoieoFSQgr4P6A8ooFlx0Mk2YM5WTUjFROCCb&#10;2fQ3Ni8G8KJwQXGiP8kU/x8se7ZdB6J4R2tKLBi8ouu3V9/efLi+/Pz1/dX3L+9y/OkjqbNUo48t&#10;ZiztOhxn0a9D5r2TweQ/MiK7Iu/+JK/YJcJwsWnO7jcN3gK72atuE32I6YlwhuSgozEFUP2Qls5a&#10;vEQXZkVe2D6NCUtj4k1CrqotGdF9TX2W0QF9JDUkDI1HZtH2JTk6rfiF0jqnxNBvljqQLaAzmkf5&#10;ywwR+JdjucoK4nA4V7YOnhkE8MeWk7T3qJlFc9PcgxGcEi3wLeQIAaFNoPTfnMTS2mIHWeSDrDna&#10;OL4vapd1dEHp8ejYbLOf5yX79l0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5Yw81gAAAAkB&#10;AAAPAAAAAAAAAAEAIAAAACIAAABkcnMvZG93bnJldi54bWxQSwECFAAUAAAACACHTuJA5LqVAuQB&#10;AACfAwAADgAAAAAAAAABACAAAAAlAQAAZHJzL2Uyb0RvYy54bWxQSwUGAAAAAAYABgBZAQAAewUA&#10;AAAA&#10;">
                <v:fill on="f" focussize="0,0"/>
                <v:stroke weight="1.2pt" color="#5A5A5A" joinstyle="round"/>
                <v:imagedata o:title=""/>
                <o:lock v:ext="edit" aspectratio="f"/>
              </v:shape>
            </w:pict>
          </mc:Fallback>
        </mc:AlternateContent>
      </w:r>
    </w:p>
    <w:p>
      <w:pPr>
        <w:spacing w:line="240" w:lineRule="exact"/>
        <w:jc w:val="center"/>
      </w:pPr>
      <w:r>
        <w:rPr>
          <w:rFonts w:ascii="[8bO53" w:hAnsi="[8bO53"/>
          <w:color w:val="595959" w:themeColor="text1" w:themeTint="A6"/>
          <w:sz w:val="18"/>
          <w:szCs w:val="18"/>
          <w:highlight w:val="none"/>
          <w14:textFill>
            <w14:solidFill>
              <w14:schemeClr w14:val="tx1">
                <w14:lumMod w14:val="65000"/>
                <w14:lumOff w14:val="35000"/>
              </w14:schemeClr>
            </w14:solidFill>
          </w14:textFill>
        </w:rPr>
        <w:t>本承诺书一式</w:t>
      </w:r>
      <w:r>
        <w:rPr>
          <w:rFonts w:hint="eastAsia" w:ascii="[8bO53" w:hAnsi="[8bO53"/>
          <w:color w:val="595959" w:themeColor="text1" w:themeTint="A6"/>
          <w:sz w:val="18"/>
          <w:szCs w:val="18"/>
          <w:highlight w:val="none"/>
          <w:lang w:eastAsia="zh-CN"/>
          <w14:textFill>
            <w14:solidFill>
              <w14:schemeClr w14:val="tx1">
                <w14:lumMod w14:val="65000"/>
                <w14:lumOff w14:val="35000"/>
              </w14:schemeClr>
            </w14:solidFill>
          </w14:textFill>
        </w:rPr>
        <w:t>两</w:t>
      </w:r>
      <w:r>
        <w:rPr>
          <w:rFonts w:ascii="[8bO53" w:hAnsi="[8bO53"/>
          <w:color w:val="595959" w:themeColor="text1" w:themeTint="A6"/>
          <w:sz w:val="18"/>
          <w:szCs w:val="18"/>
          <w:highlight w:val="none"/>
          <w14:textFill>
            <w14:solidFill>
              <w14:schemeClr w14:val="tx1">
                <w14:lumMod w14:val="65000"/>
                <w14:lumOff w14:val="35000"/>
              </w14:schemeClr>
            </w14:solidFill>
          </w14:textFill>
        </w:rPr>
        <w:t>份：</w:t>
      </w:r>
      <w:r>
        <w:rPr>
          <w:rFonts w:hint="eastAsia" w:ascii="[8bO53" w:hAnsi="[8bO53"/>
          <w:color w:val="595959" w:themeColor="text1" w:themeTint="A6"/>
          <w:sz w:val="18"/>
          <w:szCs w:val="18"/>
          <w:highlight w:val="none"/>
          <w:lang w:val="en-US" w:eastAsia="zh-CN"/>
          <w14:textFill>
            <w14:solidFill>
              <w14:schemeClr w14:val="tx1">
                <w14:lumMod w14:val="65000"/>
                <w14:lumOff w14:val="35000"/>
              </w14:schemeClr>
            </w14:solidFill>
          </w14:textFill>
        </w:rPr>
        <w:t>申请企业</w:t>
      </w:r>
      <w:r>
        <w:rPr>
          <w:rFonts w:ascii="[8bO53" w:hAnsi="[8bO53"/>
          <w:color w:val="595959" w:themeColor="text1" w:themeTint="A6"/>
          <w:sz w:val="18"/>
          <w:szCs w:val="18"/>
          <w:highlight w:val="none"/>
          <w14:textFill>
            <w14:solidFill>
              <w14:schemeClr w14:val="tx1">
                <w14:lumMod w14:val="65000"/>
                <w14:lumOff w14:val="35000"/>
              </w14:schemeClr>
            </w14:solidFill>
          </w14:textFill>
        </w:rPr>
        <w:t>一份，</w:t>
      </w:r>
      <w:r>
        <w:rPr>
          <w:rFonts w:hint="eastAsia" w:ascii="[8bO53" w:hAnsi="[8bO53"/>
          <w:color w:val="595959" w:themeColor="text1" w:themeTint="A6"/>
          <w:sz w:val="18"/>
          <w:szCs w:val="18"/>
          <w:highlight w:val="none"/>
          <w:lang w:eastAsia="zh-CN"/>
          <w14:textFill>
            <w14:solidFill>
              <w14:schemeClr w14:val="tx1">
                <w14:lumMod w14:val="65000"/>
                <w14:lumOff w14:val="35000"/>
              </w14:schemeClr>
            </w14:solidFill>
          </w14:textFill>
        </w:rPr>
        <w:t>市市场监管局深汕监管局</w:t>
      </w:r>
      <w:r>
        <w:rPr>
          <w:rFonts w:hint="eastAsia" w:ascii="[8bO53" w:hAnsi="[8bO53"/>
          <w:color w:val="595959" w:themeColor="text1" w:themeTint="A6"/>
          <w:sz w:val="18"/>
          <w:szCs w:val="18"/>
          <w:highlight w:val="none"/>
          <w:lang w:val="en-US" w:eastAsia="zh-CN"/>
          <w14:textFill>
            <w14:solidFill>
              <w14:schemeClr w14:val="tx1">
                <w14:lumMod w14:val="65000"/>
                <w14:lumOff w14:val="35000"/>
              </w14:schemeClr>
            </w14:solidFill>
          </w14:textFill>
        </w:rPr>
        <w:t>一</w:t>
      </w:r>
      <w:r>
        <w:rPr>
          <w:rFonts w:ascii="[8bO53" w:hAnsi="[8bO53"/>
          <w:color w:val="595959" w:themeColor="text1" w:themeTint="A6"/>
          <w:sz w:val="18"/>
          <w:szCs w:val="18"/>
          <w:highlight w:val="none"/>
          <w14:textFill>
            <w14:solidFill>
              <w14:schemeClr w14:val="tx1">
                <w14:lumMod w14:val="65000"/>
                <w14:lumOff w14:val="35000"/>
              </w14:schemeClr>
            </w14:solidFill>
          </w14:textFill>
        </w:rPr>
        <w:t>份</w:t>
      </w:r>
      <w:r>
        <w:rPr>
          <w:rFonts w:hint="eastAsia" w:ascii="[8bO53" w:hAnsi="[8bO53"/>
          <w:color w:val="595959" w:themeColor="text1" w:themeTint="A6"/>
          <w:sz w:val="18"/>
          <w:szCs w:val="18"/>
          <w:highlight w:val="none"/>
          <w:lang w:eastAsia="zh-CN"/>
          <w14:textFill>
            <w14:solidFill>
              <w14:schemeClr w14:val="tx1">
                <w14:lumMod w14:val="65000"/>
                <w14:lumOff w14:val="35000"/>
              </w14:schemeClr>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8bO53">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AC8"/>
    <w:multiLevelType w:val="singleLevel"/>
    <w:tmpl w:val="0E337A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ZTE0ODAyODE5OTU3YzQ4OThlYjMyZTAwOWIxMTIifQ=="/>
  </w:docVars>
  <w:rsids>
    <w:rsidRoot w:val="7B4F6789"/>
    <w:rsid w:val="042548FD"/>
    <w:rsid w:val="234D6D67"/>
    <w:rsid w:val="6A284594"/>
    <w:rsid w:val="6A7C1C1E"/>
    <w:rsid w:val="7B4F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2023-11-24T12:41:00Z</dcterms:created>
  <dc:creator>苏打</dc:creator>
  <cp:lastModifiedBy>liuxc1</cp:lastModifiedBy>
  <dcterms:modified xsi:type="dcterms:W3CDTF">2024-12-24T03:47:45Z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5458C00C49BA45478CD32D756A1F37AC_11</vt:lpwstr>
  </property>
</Properties>
</file>